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D74" w:rsidRPr="003861AC" w:rsidRDefault="00C16D74" w:rsidP="003861AC">
      <w:pPr>
        <w:spacing w:line="480" w:lineRule="exact"/>
        <w:jc w:val="center"/>
        <w:rPr>
          <w:rFonts w:ascii="標楷體" w:eastAsia="標楷體" w:hAnsi="標楷體"/>
          <w:b/>
          <w:sz w:val="28"/>
          <w:szCs w:val="28"/>
        </w:rPr>
      </w:pPr>
      <w:r w:rsidRPr="003861AC">
        <w:rPr>
          <w:rFonts w:ascii="標楷體" w:eastAsia="標楷體" w:hAnsi="標楷體" w:hint="eastAsia"/>
          <w:b/>
          <w:sz w:val="28"/>
          <w:szCs w:val="28"/>
        </w:rPr>
        <w:t>買預售屋應注意</w:t>
      </w:r>
      <w:r w:rsidR="00DC07BF" w:rsidRPr="003861AC">
        <w:rPr>
          <w:rFonts w:ascii="標楷體" w:eastAsia="標楷體" w:hAnsi="標楷體" w:hint="eastAsia"/>
          <w:b/>
          <w:sz w:val="28"/>
          <w:szCs w:val="28"/>
        </w:rPr>
        <w:t>建商有無提供履約保證</w:t>
      </w:r>
      <w:r w:rsidR="00E6475A">
        <w:rPr>
          <w:rFonts w:ascii="標楷體" w:eastAsia="標楷體" w:hAnsi="標楷體" w:hint="eastAsia"/>
          <w:b/>
          <w:sz w:val="28"/>
          <w:szCs w:val="28"/>
        </w:rPr>
        <w:t>機制</w:t>
      </w:r>
      <w:r w:rsidR="00DC07BF" w:rsidRPr="003861AC">
        <w:rPr>
          <w:rFonts w:ascii="標楷體" w:eastAsia="標楷體" w:hAnsi="標楷體" w:hint="eastAsia"/>
          <w:b/>
          <w:sz w:val="28"/>
          <w:szCs w:val="28"/>
        </w:rPr>
        <w:t>，以避免財物損失風險</w:t>
      </w:r>
    </w:p>
    <w:p w:rsidR="00C16D74" w:rsidRPr="003861AC" w:rsidRDefault="00DC07BF" w:rsidP="003861AC">
      <w:pPr>
        <w:spacing w:beforeLines="50" w:before="180" w:line="480" w:lineRule="exact"/>
        <w:jc w:val="both"/>
        <w:rPr>
          <w:rFonts w:ascii="標楷體" w:eastAsia="標楷體" w:hAnsi="標楷體"/>
          <w:sz w:val="28"/>
          <w:szCs w:val="28"/>
        </w:rPr>
      </w:pPr>
      <w:r w:rsidRPr="003861AC">
        <w:rPr>
          <w:rFonts w:ascii="標楷體" w:eastAsia="標楷體" w:hAnsi="標楷體" w:hint="eastAsia"/>
          <w:sz w:val="28"/>
          <w:szCs w:val="28"/>
        </w:rPr>
        <w:t xml:space="preserve">    </w:t>
      </w:r>
      <w:r w:rsidR="00C16D74" w:rsidRPr="003861AC">
        <w:rPr>
          <w:rFonts w:ascii="標楷體" w:eastAsia="標楷體" w:hAnsi="標楷體" w:hint="eastAsia"/>
          <w:sz w:val="28"/>
          <w:szCs w:val="28"/>
        </w:rPr>
        <w:t>為避免購買預售屋卻碰上建商倒閉，造成民眾</w:t>
      </w:r>
      <w:r w:rsidR="00620AD1" w:rsidRPr="003861AC">
        <w:rPr>
          <w:rFonts w:ascii="標楷體" w:eastAsia="標楷體" w:hAnsi="標楷體" w:hint="eastAsia"/>
          <w:sz w:val="28"/>
          <w:szCs w:val="28"/>
        </w:rPr>
        <w:t>鉅大</w:t>
      </w:r>
      <w:r w:rsidRPr="003861AC">
        <w:rPr>
          <w:rFonts w:ascii="標楷體" w:eastAsia="標楷體" w:hAnsi="標楷體" w:hint="eastAsia"/>
          <w:sz w:val="28"/>
          <w:szCs w:val="28"/>
        </w:rPr>
        <w:t>的</w:t>
      </w:r>
      <w:r w:rsidR="00620AD1" w:rsidRPr="003861AC">
        <w:rPr>
          <w:rFonts w:ascii="標楷體" w:eastAsia="標楷體" w:hAnsi="標楷體" w:hint="eastAsia"/>
          <w:sz w:val="28"/>
          <w:szCs w:val="28"/>
        </w:rPr>
        <w:t>金錢損失</w:t>
      </w:r>
      <w:r w:rsidR="00C16D74" w:rsidRPr="003861AC">
        <w:rPr>
          <w:rFonts w:ascii="標楷體" w:eastAsia="標楷體" w:hAnsi="標楷體" w:hint="eastAsia"/>
          <w:sz w:val="28"/>
          <w:szCs w:val="28"/>
        </w:rPr>
        <w:t>，內政部自</w:t>
      </w:r>
      <w:r w:rsidR="00620AD1" w:rsidRPr="003861AC">
        <w:rPr>
          <w:rFonts w:ascii="標楷體" w:eastAsia="標楷體" w:hAnsi="標楷體" w:hint="eastAsia"/>
          <w:sz w:val="28"/>
          <w:szCs w:val="28"/>
        </w:rPr>
        <w:t>民國100</w:t>
      </w:r>
      <w:r w:rsidR="00C16D74" w:rsidRPr="003861AC">
        <w:rPr>
          <w:rFonts w:ascii="標楷體" w:eastAsia="標楷體" w:hAnsi="標楷體" w:hint="eastAsia"/>
          <w:sz w:val="28"/>
          <w:szCs w:val="28"/>
        </w:rPr>
        <w:t>年</w:t>
      </w:r>
      <w:r w:rsidR="00620AD1" w:rsidRPr="003861AC">
        <w:rPr>
          <w:rFonts w:ascii="標楷體" w:eastAsia="標楷體" w:hAnsi="標楷體" w:hint="eastAsia"/>
          <w:sz w:val="28"/>
          <w:szCs w:val="28"/>
        </w:rPr>
        <w:t>5</w:t>
      </w:r>
      <w:r w:rsidR="00C16D74" w:rsidRPr="003861AC">
        <w:rPr>
          <w:rFonts w:ascii="標楷體" w:eastAsia="標楷體" w:hAnsi="標楷體" w:hint="eastAsia"/>
          <w:sz w:val="28"/>
          <w:szCs w:val="28"/>
        </w:rPr>
        <w:t>月起就要求建商必須在預售屋買賣定型化契約增訂「預售屋履約保證機制」</w:t>
      </w:r>
      <w:r w:rsidR="003861AC">
        <w:rPr>
          <w:rFonts w:ascii="標楷體" w:eastAsia="標楷體" w:hAnsi="標楷體" w:hint="eastAsia"/>
          <w:sz w:val="28"/>
          <w:szCs w:val="28"/>
        </w:rPr>
        <w:t>。</w:t>
      </w:r>
    </w:p>
    <w:p w:rsidR="00C16D74" w:rsidRPr="003861AC" w:rsidRDefault="00DC07BF" w:rsidP="003861AC">
      <w:pPr>
        <w:spacing w:line="480" w:lineRule="exact"/>
        <w:jc w:val="both"/>
        <w:rPr>
          <w:rFonts w:ascii="標楷體" w:eastAsia="標楷體" w:hAnsi="標楷體"/>
          <w:sz w:val="28"/>
          <w:szCs w:val="28"/>
        </w:rPr>
      </w:pPr>
      <w:r w:rsidRPr="003861AC">
        <w:rPr>
          <w:rFonts w:ascii="標楷體" w:eastAsia="標楷體" w:hAnsi="標楷體" w:hint="eastAsia"/>
          <w:sz w:val="28"/>
          <w:szCs w:val="28"/>
        </w:rPr>
        <w:t xml:space="preserve">    </w:t>
      </w:r>
      <w:r w:rsidR="00595975">
        <w:rPr>
          <w:rFonts w:ascii="標楷體" w:eastAsia="標楷體" w:hAnsi="標楷體" w:hint="eastAsia"/>
          <w:sz w:val="28"/>
          <w:szCs w:val="28"/>
        </w:rPr>
        <w:t>信託公會表示，</w:t>
      </w:r>
      <w:r w:rsidR="00C16D74" w:rsidRPr="003861AC">
        <w:rPr>
          <w:rFonts w:ascii="標楷體" w:eastAsia="標楷體" w:hAnsi="標楷體" w:hint="eastAsia"/>
          <w:sz w:val="28"/>
          <w:szCs w:val="28"/>
        </w:rPr>
        <w:t>內政部發布的預售屋履約保證方式，共分為「價金返還</w:t>
      </w:r>
      <w:r w:rsidR="0040310D">
        <w:rPr>
          <w:rFonts w:ascii="標楷體" w:eastAsia="標楷體" w:hAnsi="標楷體" w:hint="eastAsia"/>
          <w:sz w:val="28"/>
          <w:szCs w:val="28"/>
        </w:rPr>
        <w:t>之保證</w:t>
      </w:r>
      <w:r w:rsidR="00C16D74" w:rsidRPr="003861AC">
        <w:rPr>
          <w:rFonts w:ascii="標楷體" w:eastAsia="標楷體" w:hAnsi="標楷體" w:hint="eastAsia"/>
          <w:sz w:val="28"/>
          <w:szCs w:val="28"/>
        </w:rPr>
        <w:t>」、「價金信託」、「同業連帶擔保」、「公會連帶保證」，以及「不動產開發信託」等五種</w:t>
      </w:r>
      <w:r w:rsidRPr="003861AC">
        <w:rPr>
          <w:rFonts w:ascii="標楷體" w:eastAsia="標楷體" w:hAnsi="標楷體" w:hint="eastAsia"/>
          <w:sz w:val="28"/>
          <w:szCs w:val="28"/>
        </w:rPr>
        <w:t>，</w:t>
      </w:r>
      <w:r w:rsidR="00181028">
        <w:rPr>
          <w:rFonts w:ascii="標楷體" w:eastAsia="標楷體" w:hAnsi="標楷體" w:hint="eastAsia"/>
          <w:sz w:val="28"/>
          <w:szCs w:val="28"/>
        </w:rPr>
        <w:t>並可</w:t>
      </w:r>
      <w:r w:rsidR="00E6475A">
        <w:rPr>
          <w:rFonts w:ascii="標楷體" w:eastAsia="標楷體" w:hAnsi="標楷體" w:hint="eastAsia"/>
          <w:sz w:val="28"/>
          <w:szCs w:val="28"/>
        </w:rPr>
        <w:t>分為保證與信託二大類，</w:t>
      </w:r>
      <w:r w:rsidRPr="003861AC">
        <w:rPr>
          <w:rFonts w:ascii="標楷體" w:eastAsia="標楷體" w:hAnsi="標楷體" w:hint="eastAsia"/>
          <w:sz w:val="28"/>
          <w:szCs w:val="28"/>
        </w:rPr>
        <w:t>分述如下：</w:t>
      </w:r>
    </w:p>
    <w:p w:rsidR="00C16D74" w:rsidRPr="003861AC" w:rsidRDefault="00DC07BF" w:rsidP="00A80690">
      <w:pPr>
        <w:spacing w:line="480" w:lineRule="exact"/>
        <w:ind w:left="1372" w:hangingChars="490" w:hanging="1372"/>
        <w:jc w:val="both"/>
        <w:rPr>
          <w:rFonts w:ascii="標楷體" w:eastAsia="標楷體" w:hAnsi="標楷體"/>
          <w:sz w:val="28"/>
          <w:szCs w:val="28"/>
        </w:rPr>
      </w:pPr>
      <w:r w:rsidRPr="003861AC">
        <w:rPr>
          <w:rFonts w:ascii="標楷體" w:eastAsia="標楷體" w:hAnsi="標楷體" w:hint="eastAsia"/>
          <w:sz w:val="28"/>
          <w:szCs w:val="28"/>
        </w:rPr>
        <w:t>(一)</w:t>
      </w:r>
      <w:r w:rsidR="00E6475A">
        <w:rPr>
          <w:rFonts w:ascii="標楷體" w:eastAsia="標楷體" w:hAnsi="標楷體" w:hint="eastAsia"/>
          <w:sz w:val="28"/>
          <w:szCs w:val="28"/>
        </w:rPr>
        <w:t>保證：</w:t>
      </w:r>
      <w:r w:rsidR="00A80690">
        <w:rPr>
          <w:rFonts w:ascii="標楷體" w:eastAsia="標楷體" w:hAnsi="標楷體" w:hint="eastAsia"/>
          <w:sz w:val="28"/>
          <w:szCs w:val="28"/>
        </w:rPr>
        <w:t>具有保證性質</w:t>
      </w:r>
      <w:r w:rsidR="00E6475A">
        <w:rPr>
          <w:rFonts w:ascii="標楷體" w:eastAsia="標楷體" w:hAnsi="標楷體" w:hint="eastAsia"/>
          <w:sz w:val="28"/>
          <w:szCs w:val="28"/>
        </w:rPr>
        <w:t>者</w:t>
      </w:r>
      <w:r w:rsidR="00A80690">
        <w:rPr>
          <w:rFonts w:ascii="標楷體" w:eastAsia="標楷體" w:hAnsi="標楷體" w:hint="eastAsia"/>
          <w:sz w:val="28"/>
          <w:szCs w:val="28"/>
        </w:rPr>
        <w:t>為</w:t>
      </w:r>
      <w:r w:rsidR="00A80690" w:rsidRPr="00A80690">
        <w:rPr>
          <w:rFonts w:ascii="標楷體" w:eastAsia="標楷體" w:hAnsi="標楷體" w:hint="eastAsia"/>
          <w:sz w:val="28"/>
          <w:szCs w:val="28"/>
        </w:rPr>
        <w:t>「價金返還</w:t>
      </w:r>
      <w:r w:rsidR="00181028">
        <w:rPr>
          <w:rFonts w:ascii="標楷體" w:eastAsia="標楷體" w:hAnsi="標楷體" w:hint="eastAsia"/>
          <w:sz w:val="28"/>
          <w:szCs w:val="28"/>
        </w:rPr>
        <w:t>之保證</w:t>
      </w:r>
      <w:r w:rsidR="00A80690" w:rsidRPr="00A80690">
        <w:rPr>
          <w:rFonts w:ascii="標楷體" w:eastAsia="標楷體" w:hAnsi="標楷體" w:hint="eastAsia"/>
          <w:sz w:val="28"/>
          <w:szCs w:val="28"/>
        </w:rPr>
        <w:t>」、「同業連帶擔保」</w:t>
      </w:r>
      <w:r w:rsidR="00A80690">
        <w:rPr>
          <w:rFonts w:ascii="標楷體" w:eastAsia="標楷體" w:hAnsi="標楷體" w:hint="eastAsia"/>
          <w:sz w:val="28"/>
          <w:szCs w:val="28"/>
        </w:rPr>
        <w:t>及</w:t>
      </w:r>
      <w:r w:rsidR="00A80690" w:rsidRPr="00A80690">
        <w:rPr>
          <w:rFonts w:ascii="標楷體" w:eastAsia="標楷體" w:hAnsi="標楷體" w:hint="eastAsia"/>
          <w:sz w:val="28"/>
          <w:szCs w:val="28"/>
        </w:rPr>
        <w:t>「公會連帶保證」</w:t>
      </w:r>
      <w:r w:rsidR="008852F9">
        <w:rPr>
          <w:rFonts w:ascii="標楷體" w:eastAsia="標楷體" w:hAnsi="標楷體" w:hint="eastAsia"/>
          <w:sz w:val="28"/>
          <w:szCs w:val="28"/>
        </w:rPr>
        <w:t>。</w:t>
      </w:r>
      <w:r w:rsidR="00A80690">
        <w:rPr>
          <w:rFonts w:ascii="標楷體" w:eastAsia="標楷體" w:hAnsi="標楷體" w:hint="eastAsia"/>
          <w:sz w:val="28"/>
          <w:szCs w:val="28"/>
        </w:rPr>
        <w:t>採用此機制於</w:t>
      </w:r>
      <w:r w:rsidR="00A80690" w:rsidRPr="003861AC">
        <w:rPr>
          <w:rFonts w:ascii="標楷體" w:eastAsia="標楷體" w:hAnsi="標楷體" w:hint="eastAsia"/>
          <w:sz w:val="28"/>
          <w:szCs w:val="28"/>
        </w:rPr>
        <w:t>建商無法完成建案時，</w:t>
      </w:r>
      <w:r w:rsidR="00181028">
        <w:rPr>
          <w:rFonts w:ascii="標楷體" w:eastAsia="標楷體" w:hAnsi="標楷體" w:hint="eastAsia"/>
          <w:sz w:val="28"/>
          <w:szCs w:val="28"/>
        </w:rPr>
        <w:t>由金融機構</w:t>
      </w:r>
      <w:r w:rsidR="00A80690">
        <w:rPr>
          <w:rFonts w:ascii="標楷體" w:eastAsia="標楷體" w:hAnsi="標楷體" w:hint="eastAsia"/>
          <w:sz w:val="28"/>
          <w:szCs w:val="28"/>
        </w:rPr>
        <w:t>全額返還購屋者繳交之價金，或由提供連帶保證的</w:t>
      </w:r>
      <w:r w:rsidR="00595975">
        <w:rPr>
          <w:rFonts w:ascii="標楷體" w:eastAsia="標楷體" w:hAnsi="標楷體" w:hint="eastAsia"/>
          <w:sz w:val="28"/>
          <w:szCs w:val="28"/>
        </w:rPr>
        <w:t>其他建商</w:t>
      </w:r>
      <w:r w:rsidR="00A80690">
        <w:rPr>
          <w:rFonts w:ascii="標楷體" w:eastAsia="標楷體" w:hAnsi="標楷體" w:hint="eastAsia"/>
          <w:sz w:val="28"/>
          <w:szCs w:val="28"/>
        </w:rPr>
        <w:t>或</w:t>
      </w:r>
      <w:r w:rsidR="00181028">
        <w:rPr>
          <w:rFonts w:ascii="標楷體" w:eastAsia="標楷體" w:hAnsi="標楷體" w:hint="eastAsia"/>
          <w:sz w:val="28"/>
          <w:szCs w:val="28"/>
        </w:rPr>
        <w:t>參與</w:t>
      </w:r>
      <w:r w:rsidR="00595975">
        <w:rPr>
          <w:rFonts w:ascii="標楷體" w:eastAsia="標楷體" w:hAnsi="標楷體" w:hint="eastAsia"/>
          <w:sz w:val="28"/>
          <w:szCs w:val="28"/>
        </w:rPr>
        <w:t>建商</w:t>
      </w:r>
      <w:r w:rsidR="00A80690">
        <w:rPr>
          <w:rFonts w:ascii="標楷體" w:eastAsia="標楷體" w:hAnsi="標楷體" w:hint="eastAsia"/>
          <w:sz w:val="28"/>
          <w:szCs w:val="28"/>
        </w:rPr>
        <w:t>公會</w:t>
      </w:r>
      <w:r w:rsidR="00181028">
        <w:rPr>
          <w:rFonts w:ascii="標楷體" w:eastAsia="標楷體" w:hAnsi="標楷體" w:hint="eastAsia"/>
          <w:sz w:val="28"/>
          <w:szCs w:val="28"/>
        </w:rPr>
        <w:t>連帶保證協定的公司</w:t>
      </w:r>
      <w:r w:rsidR="00BD3243">
        <w:rPr>
          <w:rFonts w:ascii="標楷體" w:eastAsia="標楷體" w:hAnsi="標楷體" w:hint="eastAsia"/>
          <w:sz w:val="28"/>
          <w:szCs w:val="28"/>
        </w:rPr>
        <w:t>無條件</w:t>
      </w:r>
      <w:r w:rsidR="00A80690">
        <w:rPr>
          <w:rFonts w:ascii="標楷體" w:eastAsia="標楷體" w:hAnsi="標楷體" w:hint="eastAsia"/>
          <w:sz w:val="28"/>
          <w:szCs w:val="28"/>
        </w:rPr>
        <w:t>履行興建完工交屋的責任</w:t>
      </w:r>
      <w:r w:rsidRPr="003861AC">
        <w:rPr>
          <w:rFonts w:ascii="標楷體" w:eastAsia="標楷體" w:hAnsi="標楷體" w:hint="eastAsia"/>
          <w:sz w:val="28"/>
          <w:szCs w:val="28"/>
        </w:rPr>
        <w:t>。</w:t>
      </w:r>
    </w:p>
    <w:p w:rsidR="00DC07BF" w:rsidRPr="003861AC" w:rsidRDefault="00CB38C5" w:rsidP="008852F9">
      <w:pPr>
        <w:spacing w:line="480" w:lineRule="exact"/>
        <w:ind w:left="1344" w:hangingChars="480" w:hanging="1344"/>
        <w:jc w:val="both"/>
        <w:rPr>
          <w:rFonts w:ascii="標楷體" w:eastAsia="標楷體" w:hAnsi="標楷體"/>
          <w:sz w:val="28"/>
          <w:szCs w:val="28"/>
        </w:rPr>
      </w:pPr>
      <w:r w:rsidRPr="003861AC">
        <w:rPr>
          <w:rFonts w:ascii="標楷體" w:eastAsia="標楷體" w:hAnsi="標楷體" w:hint="eastAsia"/>
          <w:sz w:val="28"/>
          <w:szCs w:val="28"/>
        </w:rPr>
        <w:t>(二)信託：</w:t>
      </w:r>
      <w:r w:rsidR="00A80690">
        <w:rPr>
          <w:rFonts w:ascii="標楷體" w:eastAsia="標楷體" w:hAnsi="標楷體" w:hint="eastAsia"/>
          <w:sz w:val="28"/>
          <w:szCs w:val="28"/>
        </w:rPr>
        <w:t>以信託架構提供</w:t>
      </w:r>
      <w:r w:rsidR="008852F9">
        <w:rPr>
          <w:rFonts w:ascii="標楷體" w:eastAsia="標楷體" w:hAnsi="標楷體" w:hint="eastAsia"/>
          <w:sz w:val="28"/>
          <w:szCs w:val="28"/>
        </w:rPr>
        <w:t>履約保證</w:t>
      </w:r>
      <w:r w:rsidR="00A80690">
        <w:rPr>
          <w:rFonts w:ascii="標楷體" w:eastAsia="標楷體" w:hAnsi="標楷體" w:hint="eastAsia"/>
          <w:sz w:val="28"/>
          <w:szCs w:val="28"/>
        </w:rPr>
        <w:t>方式</w:t>
      </w:r>
      <w:r w:rsidR="008852F9">
        <w:rPr>
          <w:rFonts w:ascii="標楷體" w:eastAsia="標楷體" w:hAnsi="標楷體" w:hint="eastAsia"/>
          <w:sz w:val="28"/>
          <w:szCs w:val="28"/>
        </w:rPr>
        <w:t>的</w:t>
      </w:r>
      <w:r w:rsidR="00A80690">
        <w:rPr>
          <w:rFonts w:ascii="標楷體" w:eastAsia="標楷體" w:hAnsi="標楷體" w:hint="eastAsia"/>
          <w:sz w:val="28"/>
          <w:szCs w:val="28"/>
        </w:rPr>
        <w:t>有</w:t>
      </w:r>
      <w:r w:rsidR="00A80690" w:rsidRPr="003861AC">
        <w:rPr>
          <w:rFonts w:ascii="標楷體" w:eastAsia="標楷體" w:hAnsi="標楷體" w:hint="eastAsia"/>
          <w:sz w:val="28"/>
          <w:szCs w:val="28"/>
        </w:rPr>
        <w:t>「價金信託」</w:t>
      </w:r>
      <w:r w:rsidR="00A80690">
        <w:rPr>
          <w:rFonts w:ascii="標楷體" w:eastAsia="標楷體" w:hAnsi="標楷體" w:hint="eastAsia"/>
          <w:sz w:val="28"/>
          <w:szCs w:val="28"/>
        </w:rPr>
        <w:t>及</w:t>
      </w:r>
      <w:r w:rsidR="00A80690" w:rsidRPr="003861AC">
        <w:rPr>
          <w:rFonts w:ascii="標楷體" w:eastAsia="標楷體" w:hAnsi="標楷體" w:hint="eastAsia"/>
          <w:sz w:val="28"/>
          <w:szCs w:val="28"/>
        </w:rPr>
        <w:t>「不動產開發信託」</w:t>
      </w:r>
      <w:r w:rsidR="00181028">
        <w:rPr>
          <w:rFonts w:ascii="標楷體" w:eastAsia="標楷體" w:hAnsi="標楷體" w:hint="eastAsia"/>
          <w:sz w:val="28"/>
          <w:szCs w:val="28"/>
        </w:rPr>
        <w:t>，主要功能是強化建商資金的使用為專款專用，例如承購戶所繳的錢確認用在該建案，不會被建商移為他用</w:t>
      </w:r>
      <w:r w:rsidR="008852F9">
        <w:rPr>
          <w:rFonts w:ascii="標楷體" w:eastAsia="標楷體" w:hAnsi="標楷體" w:hint="eastAsia"/>
          <w:sz w:val="28"/>
          <w:szCs w:val="28"/>
        </w:rPr>
        <w:t>。</w:t>
      </w:r>
      <w:r w:rsidR="00181028" w:rsidRPr="003861AC">
        <w:rPr>
          <w:rFonts w:ascii="標楷體" w:eastAsia="標楷體" w:hAnsi="標楷體" w:hint="eastAsia"/>
          <w:sz w:val="28"/>
          <w:szCs w:val="28"/>
        </w:rPr>
        <w:t>「價金信託」</w:t>
      </w:r>
      <w:r w:rsidR="00181028">
        <w:rPr>
          <w:rFonts w:ascii="標楷體" w:eastAsia="標楷體" w:hAnsi="標楷體" w:hint="eastAsia"/>
          <w:sz w:val="28"/>
          <w:szCs w:val="28"/>
        </w:rPr>
        <w:t>是</w:t>
      </w:r>
      <w:r w:rsidR="00620AD1" w:rsidRPr="003861AC">
        <w:rPr>
          <w:rFonts w:ascii="標楷體" w:eastAsia="標楷體" w:hAnsi="標楷體" w:hint="eastAsia"/>
          <w:sz w:val="28"/>
          <w:szCs w:val="28"/>
        </w:rPr>
        <w:t>將承購戶之自備款信託</w:t>
      </w:r>
      <w:r w:rsidR="00E725F6">
        <w:rPr>
          <w:rFonts w:ascii="標楷體" w:eastAsia="標楷體" w:hAnsi="標楷體" w:hint="eastAsia"/>
          <w:sz w:val="28"/>
          <w:szCs w:val="28"/>
        </w:rPr>
        <w:t>給</w:t>
      </w:r>
      <w:r w:rsidR="00181028">
        <w:rPr>
          <w:rFonts w:ascii="標楷體" w:eastAsia="標楷體" w:hAnsi="標楷體" w:hint="eastAsia"/>
          <w:sz w:val="28"/>
          <w:szCs w:val="28"/>
        </w:rPr>
        <w:t>受託銀行</w:t>
      </w:r>
      <w:r w:rsidR="00620AD1" w:rsidRPr="003861AC">
        <w:rPr>
          <w:rFonts w:ascii="標楷體" w:eastAsia="標楷體" w:hAnsi="標楷體" w:hint="eastAsia"/>
          <w:sz w:val="28"/>
          <w:szCs w:val="28"/>
        </w:rPr>
        <w:t>管理</w:t>
      </w:r>
      <w:r w:rsidR="00F13C3D">
        <w:rPr>
          <w:rFonts w:ascii="標楷體" w:eastAsia="標楷體" w:hAnsi="標楷體" w:hint="eastAsia"/>
          <w:sz w:val="28"/>
          <w:szCs w:val="28"/>
        </w:rPr>
        <w:t>，</w:t>
      </w:r>
      <w:r w:rsidR="00181028">
        <w:rPr>
          <w:rFonts w:ascii="標楷體" w:eastAsia="標楷體" w:hAnsi="標楷體" w:hint="eastAsia"/>
          <w:sz w:val="28"/>
          <w:szCs w:val="28"/>
        </w:rPr>
        <w:t>而</w:t>
      </w:r>
      <w:r w:rsidR="00181028" w:rsidRPr="003861AC">
        <w:rPr>
          <w:rFonts w:ascii="標楷體" w:eastAsia="標楷體" w:hAnsi="標楷體" w:hint="eastAsia"/>
          <w:sz w:val="28"/>
          <w:szCs w:val="28"/>
        </w:rPr>
        <w:t>「不動產開發信託」</w:t>
      </w:r>
      <w:r w:rsidR="00181028">
        <w:rPr>
          <w:rFonts w:ascii="標楷體" w:eastAsia="標楷體" w:hAnsi="標楷體" w:hint="eastAsia"/>
          <w:sz w:val="28"/>
          <w:szCs w:val="28"/>
        </w:rPr>
        <w:t>則是</w:t>
      </w:r>
      <w:r w:rsidR="00BD3243" w:rsidRPr="00BD3243">
        <w:rPr>
          <w:rFonts w:ascii="標楷體" w:eastAsia="標楷體" w:hAnsi="標楷體" w:hint="eastAsia"/>
          <w:sz w:val="28"/>
          <w:szCs w:val="28"/>
        </w:rPr>
        <w:t>將建案土地及興建資金信託給</w:t>
      </w:r>
      <w:r w:rsidR="00181028">
        <w:rPr>
          <w:rFonts w:ascii="標楷體" w:eastAsia="標楷體" w:hAnsi="標楷體" w:hint="eastAsia"/>
          <w:sz w:val="28"/>
          <w:szCs w:val="28"/>
        </w:rPr>
        <w:t>受託銀行</w:t>
      </w:r>
      <w:r w:rsidR="00BD3243" w:rsidRPr="00BD3243">
        <w:rPr>
          <w:rFonts w:ascii="標楷體" w:eastAsia="標楷體" w:hAnsi="標楷體" w:hint="eastAsia"/>
          <w:sz w:val="28"/>
          <w:szCs w:val="28"/>
        </w:rPr>
        <w:t>管理，</w:t>
      </w:r>
      <w:r w:rsidR="00181028">
        <w:rPr>
          <w:rFonts w:ascii="標楷體" w:eastAsia="標楷體" w:hAnsi="標楷體" w:hint="eastAsia"/>
          <w:sz w:val="28"/>
          <w:szCs w:val="28"/>
        </w:rPr>
        <w:t>二者均</w:t>
      </w:r>
      <w:r w:rsidR="00BD3243" w:rsidRPr="00BD3243">
        <w:rPr>
          <w:rFonts w:ascii="標楷體" w:eastAsia="標楷體" w:hAnsi="標楷體" w:hint="eastAsia"/>
          <w:sz w:val="28"/>
          <w:szCs w:val="28"/>
        </w:rPr>
        <w:t>由受託</w:t>
      </w:r>
      <w:r w:rsidR="00181028">
        <w:rPr>
          <w:rFonts w:ascii="標楷體" w:eastAsia="標楷體" w:hAnsi="標楷體" w:hint="eastAsia"/>
          <w:sz w:val="28"/>
          <w:szCs w:val="28"/>
        </w:rPr>
        <w:t>銀行</w:t>
      </w:r>
      <w:r w:rsidR="00BD3243" w:rsidRPr="00BD3243">
        <w:rPr>
          <w:rFonts w:ascii="標楷體" w:eastAsia="標楷體" w:hAnsi="標楷體" w:hint="eastAsia"/>
          <w:sz w:val="28"/>
          <w:szCs w:val="28"/>
        </w:rPr>
        <w:t>依照工程進度支付</w:t>
      </w:r>
      <w:r w:rsidR="00181028">
        <w:rPr>
          <w:rFonts w:ascii="標楷體" w:eastAsia="標楷體" w:hAnsi="標楷體" w:hint="eastAsia"/>
          <w:sz w:val="28"/>
          <w:szCs w:val="28"/>
        </w:rPr>
        <w:t>款項並</w:t>
      </w:r>
      <w:r w:rsidR="00BD3243" w:rsidRPr="00BD3243">
        <w:rPr>
          <w:rFonts w:ascii="標楷體" w:eastAsia="標楷體" w:hAnsi="標楷體" w:hint="eastAsia"/>
          <w:sz w:val="28"/>
          <w:szCs w:val="28"/>
        </w:rPr>
        <w:t>專款專用，</w:t>
      </w:r>
      <w:r w:rsidR="00BD0341">
        <w:rPr>
          <w:rFonts w:ascii="標楷體" w:eastAsia="標楷體" w:hAnsi="標楷體" w:hint="eastAsia"/>
          <w:sz w:val="28"/>
          <w:szCs w:val="28"/>
        </w:rPr>
        <w:t>於</w:t>
      </w:r>
      <w:r w:rsidR="00BD3243" w:rsidRPr="00BD3243">
        <w:rPr>
          <w:rFonts w:ascii="標楷體" w:eastAsia="標楷體" w:hAnsi="標楷體" w:hint="eastAsia"/>
          <w:sz w:val="28"/>
          <w:szCs w:val="28"/>
        </w:rPr>
        <w:t>建商</w:t>
      </w:r>
      <w:r w:rsidR="00BD0341" w:rsidRPr="00BD0341">
        <w:rPr>
          <w:rFonts w:ascii="標楷體" w:eastAsia="標楷體" w:hAnsi="標楷體" w:hint="eastAsia"/>
          <w:sz w:val="28"/>
          <w:szCs w:val="28"/>
        </w:rPr>
        <w:t>無法完成建案時</w:t>
      </w:r>
      <w:r w:rsidR="00BD3243" w:rsidRPr="00BD3243">
        <w:rPr>
          <w:rFonts w:ascii="標楷體" w:eastAsia="標楷體" w:hAnsi="標楷體" w:hint="eastAsia"/>
          <w:sz w:val="28"/>
          <w:szCs w:val="28"/>
        </w:rPr>
        <w:t>，將信託專戶自備款餘款之受益權歸屬於承購戶。</w:t>
      </w:r>
    </w:p>
    <w:p w:rsidR="00BC60F9" w:rsidRDefault="00BD3243" w:rsidP="00BD3243">
      <w:pPr>
        <w:spacing w:line="480" w:lineRule="exact"/>
        <w:ind w:left="1"/>
        <w:jc w:val="both"/>
        <w:rPr>
          <w:rFonts w:ascii="標楷體" w:eastAsia="標楷體" w:hAnsi="標楷體"/>
          <w:sz w:val="28"/>
          <w:szCs w:val="28"/>
        </w:rPr>
      </w:pPr>
      <w:r>
        <w:rPr>
          <w:rFonts w:ascii="標楷體" w:eastAsia="標楷體" w:hAnsi="標楷體" w:hint="eastAsia"/>
          <w:sz w:val="28"/>
          <w:szCs w:val="28"/>
        </w:rPr>
        <w:t xml:space="preserve">    上述幾種履約保證方式相較之下，似以</w:t>
      </w:r>
      <w:r w:rsidR="004377DD">
        <w:rPr>
          <w:rFonts w:ascii="標楷體" w:eastAsia="標楷體" w:hAnsi="標楷體" w:hint="eastAsia"/>
          <w:sz w:val="28"/>
          <w:szCs w:val="28"/>
        </w:rPr>
        <w:t>全額返還購屋者繳交價金之</w:t>
      </w:r>
      <w:r>
        <w:rPr>
          <w:rFonts w:ascii="新細明體" w:eastAsia="新細明體" w:hAnsi="新細明體" w:hint="eastAsia"/>
          <w:sz w:val="28"/>
          <w:szCs w:val="28"/>
        </w:rPr>
        <w:t>「</w:t>
      </w:r>
      <w:r>
        <w:rPr>
          <w:rFonts w:ascii="標楷體" w:eastAsia="標楷體" w:hAnsi="標楷體" w:hint="eastAsia"/>
          <w:sz w:val="28"/>
          <w:szCs w:val="28"/>
        </w:rPr>
        <w:t>價金返還</w:t>
      </w:r>
      <w:r w:rsidR="00BD0341">
        <w:rPr>
          <w:rFonts w:ascii="標楷體" w:eastAsia="標楷體" w:hAnsi="標楷體" w:hint="eastAsia"/>
          <w:sz w:val="28"/>
          <w:szCs w:val="28"/>
        </w:rPr>
        <w:t>之保證</w:t>
      </w:r>
      <w:r>
        <w:rPr>
          <w:rFonts w:ascii="標楷體" w:eastAsia="標楷體" w:hAnsi="標楷體" w:hint="eastAsia"/>
          <w:sz w:val="28"/>
          <w:szCs w:val="28"/>
        </w:rPr>
        <w:t>」方式對消費者</w:t>
      </w:r>
      <w:r w:rsidR="00BD0341">
        <w:rPr>
          <w:rFonts w:ascii="標楷體" w:eastAsia="標楷體" w:hAnsi="標楷體" w:hint="eastAsia"/>
          <w:sz w:val="28"/>
          <w:szCs w:val="28"/>
        </w:rPr>
        <w:t>最具</w:t>
      </w:r>
      <w:r>
        <w:rPr>
          <w:rFonts w:ascii="標楷體" w:eastAsia="標楷體" w:hAnsi="標楷體" w:hint="eastAsia"/>
          <w:sz w:val="28"/>
          <w:szCs w:val="28"/>
        </w:rPr>
        <w:t>保障，然除非建商之財資歷俱佳方有採行此機制之可能</w:t>
      </w:r>
      <w:r w:rsidR="00752F16">
        <w:rPr>
          <w:rFonts w:ascii="標楷體" w:eastAsia="標楷體" w:hAnsi="標楷體" w:hint="eastAsia"/>
          <w:sz w:val="28"/>
          <w:szCs w:val="28"/>
        </w:rPr>
        <w:t>；</w:t>
      </w:r>
      <w:r>
        <w:rPr>
          <w:rFonts w:ascii="標楷體" w:eastAsia="標楷體" w:hAnsi="標楷體" w:hint="eastAsia"/>
          <w:sz w:val="28"/>
          <w:szCs w:val="28"/>
        </w:rPr>
        <w:t>又</w:t>
      </w:r>
      <w:r w:rsidR="004377DD" w:rsidRPr="004377DD">
        <w:rPr>
          <w:rFonts w:ascii="標楷體" w:eastAsia="標楷體" w:hAnsi="標楷體" w:hint="eastAsia"/>
          <w:sz w:val="28"/>
          <w:szCs w:val="28"/>
        </w:rPr>
        <w:t>「同業連帶擔保」及「公會連帶保證」</w:t>
      </w:r>
      <w:r w:rsidR="004377DD">
        <w:rPr>
          <w:rFonts w:ascii="標楷體" w:eastAsia="標楷體" w:hAnsi="標楷體" w:hint="eastAsia"/>
          <w:sz w:val="28"/>
          <w:szCs w:val="28"/>
        </w:rPr>
        <w:t>雖有</w:t>
      </w:r>
      <w:r w:rsidR="004377DD" w:rsidRPr="004377DD">
        <w:rPr>
          <w:rFonts w:ascii="標楷體" w:eastAsia="標楷體" w:hAnsi="標楷體" w:hint="eastAsia"/>
          <w:sz w:val="28"/>
          <w:szCs w:val="28"/>
        </w:rPr>
        <w:t>興建完工交屋的</w:t>
      </w:r>
      <w:r w:rsidR="004377DD">
        <w:rPr>
          <w:rFonts w:ascii="標楷體" w:eastAsia="標楷體" w:hAnsi="標楷體" w:hint="eastAsia"/>
          <w:sz w:val="28"/>
          <w:szCs w:val="28"/>
        </w:rPr>
        <w:t>保障，然實務上</w:t>
      </w:r>
      <w:r w:rsidR="00BD0341">
        <w:rPr>
          <w:rFonts w:ascii="標楷體" w:eastAsia="標楷體" w:hAnsi="標楷體" w:hint="eastAsia"/>
          <w:sz w:val="28"/>
          <w:szCs w:val="28"/>
        </w:rPr>
        <w:t>目前尚無</w:t>
      </w:r>
      <w:r w:rsidR="00595975">
        <w:rPr>
          <w:rFonts w:ascii="標楷體" w:eastAsia="標楷體" w:hAnsi="標楷體" w:hint="eastAsia"/>
          <w:sz w:val="28"/>
          <w:szCs w:val="28"/>
        </w:rPr>
        <w:t>建商</w:t>
      </w:r>
      <w:r w:rsidR="004377DD">
        <w:rPr>
          <w:rFonts w:ascii="標楷體" w:eastAsia="標楷體" w:hAnsi="標楷體" w:hint="eastAsia"/>
          <w:sz w:val="28"/>
          <w:szCs w:val="28"/>
        </w:rPr>
        <w:t>公會</w:t>
      </w:r>
      <w:r w:rsidR="00BD0341">
        <w:rPr>
          <w:rFonts w:ascii="標楷體" w:eastAsia="標楷體" w:hAnsi="標楷體" w:hint="eastAsia"/>
          <w:sz w:val="28"/>
          <w:szCs w:val="28"/>
        </w:rPr>
        <w:t>辦理</w:t>
      </w:r>
      <w:r w:rsidR="004377DD">
        <w:rPr>
          <w:rFonts w:ascii="標楷體" w:eastAsia="標楷體" w:hAnsi="標楷體" w:hint="eastAsia"/>
          <w:sz w:val="28"/>
          <w:szCs w:val="28"/>
        </w:rPr>
        <w:t>連</w:t>
      </w:r>
      <w:r w:rsidR="00BD0341">
        <w:rPr>
          <w:rFonts w:ascii="標楷體" w:eastAsia="標楷體" w:hAnsi="標楷體" w:hint="eastAsia"/>
          <w:sz w:val="28"/>
          <w:szCs w:val="28"/>
        </w:rPr>
        <w:t>帶</w:t>
      </w:r>
      <w:r w:rsidR="004377DD">
        <w:rPr>
          <w:rFonts w:ascii="標楷體" w:eastAsia="標楷體" w:hAnsi="標楷體" w:hint="eastAsia"/>
          <w:sz w:val="28"/>
          <w:szCs w:val="28"/>
        </w:rPr>
        <w:t>保</w:t>
      </w:r>
      <w:r w:rsidR="00BD0341">
        <w:rPr>
          <w:rFonts w:ascii="標楷體" w:eastAsia="標楷體" w:hAnsi="標楷體" w:hint="eastAsia"/>
          <w:sz w:val="28"/>
          <w:szCs w:val="28"/>
        </w:rPr>
        <w:t>證協定</w:t>
      </w:r>
      <w:r w:rsidR="007D6F4D" w:rsidRPr="007D6F4D">
        <w:rPr>
          <w:rFonts w:ascii="標楷體" w:eastAsia="標楷體" w:hAnsi="標楷體" w:hint="eastAsia"/>
          <w:sz w:val="28"/>
          <w:szCs w:val="28"/>
        </w:rPr>
        <w:t>。</w:t>
      </w:r>
    </w:p>
    <w:p w:rsidR="00C16D74" w:rsidRPr="003861AC" w:rsidRDefault="00BC60F9" w:rsidP="00BD3243">
      <w:pPr>
        <w:spacing w:line="480" w:lineRule="exact"/>
        <w:ind w:left="1"/>
        <w:jc w:val="both"/>
        <w:rPr>
          <w:rFonts w:ascii="標楷體" w:eastAsia="標楷體" w:hAnsi="標楷體"/>
          <w:sz w:val="28"/>
          <w:szCs w:val="28"/>
        </w:rPr>
      </w:pPr>
      <w:r>
        <w:rPr>
          <w:rFonts w:ascii="標楷體" w:eastAsia="標楷體" w:hAnsi="標楷體" w:hint="eastAsia"/>
          <w:sz w:val="28"/>
          <w:szCs w:val="28"/>
        </w:rPr>
        <w:t xml:space="preserve">    </w:t>
      </w:r>
      <w:r w:rsidR="004377DD">
        <w:rPr>
          <w:rFonts w:ascii="標楷體" w:eastAsia="標楷體" w:hAnsi="標楷體" w:hint="eastAsia"/>
          <w:sz w:val="28"/>
          <w:szCs w:val="28"/>
        </w:rPr>
        <w:t>因此</w:t>
      </w:r>
      <w:r w:rsidR="00BD0341">
        <w:rPr>
          <w:rFonts w:ascii="標楷體" w:eastAsia="標楷體" w:hAnsi="標楷體" w:hint="eastAsia"/>
          <w:sz w:val="28"/>
          <w:szCs w:val="28"/>
        </w:rPr>
        <w:t>實務</w:t>
      </w:r>
      <w:r w:rsidR="004377DD">
        <w:rPr>
          <w:rFonts w:ascii="標楷體" w:eastAsia="標楷體" w:hAnsi="標楷體" w:hint="eastAsia"/>
          <w:sz w:val="28"/>
          <w:szCs w:val="28"/>
        </w:rPr>
        <w:t>以</w:t>
      </w:r>
      <w:r w:rsidR="004377DD" w:rsidRPr="004377DD">
        <w:rPr>
          <w:rFonts w:ascii="標楷體" w:eastAsia="標楷體" w:hAnsi="標楷體" w:hint="eastAsia"/>
          <w:sz w:val="28"/>
          <w:szCs w:val="28"/>
        </w:rPr>
        <w:t>「價金信託」及「不動產開發信託」</w:t>
      </w:r>
      <w:r w:rsidR="004377DD">
        <w:rPr>
          <w:rFonts w:ascii="標楷體" w:eastAsia="標楷體" w:hAnsi="標楷體" w:hint="eastAsia"/>
          <w:sz w:val="28"/>
          <w:szCs w:val="28"/>
        </w:rPr>
        <w:t>二種方式最</w:t>
      </w:r>
      <w:r w:rsidR="00752F16">
        <w:rPr>
          <w:rFonts w:ascii="標楷體" w:eastAsia="標楷體" w:hAnsi="標楷體" w:hint="eastAsia"/>
          <w:sz w:val="28"/>
          <w:szCs w:val="28"/>
        </w:rPr>
        <w:t>為</w:t>
      </w:r>
      <w:r w:rsidR="004377DD">
        <w:rPr>
          <w:rFonts w:ascii="標楷體" w:eastAsia="標楷體" w:hAnsi="標楷體" w:hint="eastAsia"/>
          <w:sz w:val="28"/>
          <w:szCs w:val="28"/>
        </w:rPr>
        <w:t>常見，</w:t>
      </w:r>
      <w:r w:rsidRPr="00BC60F9">
        <w:rPr>
          <w:rFonts w:ascii="標楷體" w:eastAsia="標楷體" w:hAnsi="標楷體" w:hint="eastAsia"/>
          <w:sz w:val="28"/>
          <w:szCs w:val="28"/>
        </w:rPr>
        <w:t>民眾若買預售屋，建議應把需交給建商的款項，像開工款或開工</w:t>
      </w:r>
      <w:r w:rsidRPr="00BC60F9">
        <w:rPr>
          <w:rFonts w:ascii="標楷體" w:eastAsia="標楷體" w:hAnsi="標楷體" w:hint="eastAsia"/>
          <w:sz w:val="28"/>
          <w:szCs w:val="28"/>
        </w:rPr>
        <w:lastRenderedPageBreak/>
        <w:t>後按工程進度的分期繳款等，直接匯至建商指定的信託專戶，不要交由建商再轉入指定的信託專戶，如此可避免建商未依約定將款項匯入信託專戶，透過信託制度由</w:t>
      </w:r>
      <w:r w:rsidR="00BD0341">
        <w:rPr>
          <w:rFonts w:ascii="標楷體" w:eastAsia="標楷體" w:hAnsi="標楷體" w:hint="eastAsia"/>
          <w:sz w:val="28"/>
          <w:szCs w:val="28"/>
        </w:rPr>
        <w:t>受</w:t>
      </w:r>
      <w:r w:rsidRPr="00BC60F9">
        <w:rPr>
          <w:rFonts w:ascii="標楷體" w:eastAsia="標楷體" w:hAnsi="標楷體" w:hint="eastAsia"/>
          <w:sz w:val="28"/>
          <w:szCs w:val="28"/>
        </w:rPr>
        <w:t>託</w:t>
      </w:r>
      <w:r w:rsidR="00BD0341">
        <w:rPr>
          <w:rFonts w:ascii="標楷體" w:eastAsia="標楷體" w:hAnsi="標楷體" w:hint="eastAsia"/>
          <w:sz w:val="28"/>
          <w:szCs w:val="28"/>
        </w:rPr>
        <w:t>銀行</w:t>
      </w:r>
      <w:r w:rsidRPr="00BC60F9">
        <w:rPr>
          <w:rFonts w:ascii="標楷體" w:eastAsia="標楷體" w:hAnsi="標楷體" w:hint="eastAsia"/>
          <w:sz w:val="28"/>
          <w:szCs w:val="28"/>
        </w:rPr>
        <w:t>把關，款項是用在建案工程與相關費用的支出。</w:t>
      </w:r>
    </w:p>
    <w:p w:rsidR="00C16D74" w:rsidRPr="003861AC" w:rsidRDefault="0059533A" w:rsidP="003861AC">
      <w:pPr>
        <w:spacing w:line="480" w:lineRule="exact"/>
        <w:jc w:val="both"/>
        <w:rPr>
          <w:rFonts w:ascii="標楷體" w:eastAsia="標楷體" w:hAnsi="標楷體"/>
          <w:sz w:val="28"/>
          <w:szCs w:val="28"/>
        </w:rPr>
      </w:pPr>
      <w:r w:rsidRPr="003861AC">
        <w:rPr>
          <w:rFonts w:ascii="標楷體" w:eastAsia="標楷體" w:hAnsi="標楷體" w:hint="eastAsia"/>
          <w:sz w:val="28"/>
          <w:szCs w:val="28"/>
        </w:rPr>
        <w:t xml:space="preserve">    </w:t>
      </w:r>
      <w:r w:rsidR="00C16D74" w:rsidRPr="003861AC">
        <w:rPr>
          <w:rFonts w:ascii="標楷體" w:eastAsia="標楷體" w:hAnsi="標楷體" w:hint="eastAsia"/>
          <w:sz w:val="28"/>
          <w:szCs w:val="28"/>
        </w:rPr>
        <w:t>雖然內政部要求建商</w:t>
      </w:r>
      <w:r w:rsidRPr="003861AC">
        <w:rPr>
          <w:rFonts w:ascii="標楷體" w:eastAsia="標楷體" w:hAnsi="標楷體" w:hint="eastAsia"/>
          <w:sz w:val="28"/>
          <w:szCs w:val="28"/>
        </w:rPr>
        <w:t>銷售預售屋</w:t>
      </w:r>
      <w:r w:rsidR="00C16D74" w:rsidRPr="003861AC">
        <w:rPr>
          <w:rFonts w:ascii="標楷體" w:eastAsia="標楷體" w:hAnsi="標楷體" w:hint="eastAsia"/>
          <w:sz w:val="28"/>
          <w:szCs w:val="28"/>
        </w:rPr>
        <w:t>必須</w:t>
      </w:r>
      <w:r w:rsidRPr="003861AC">
        <w:rPr>
          <w:rFonts w:ascii="標楷體" w:eastAsia="標楷體" w:hAnsi="標楷體" w:hint="eastAsia"/>
          <w:sz w:val="28"/>
          <w:szCs w:val="28"/>
        </w:rPr>
        <w:t>提供</w:t>
      </w:r>
      <w:r w:rsidR="00BD0341">
        <w:rPr>
          <w:rFonts w:ascii="標楷體" w:eastAsia="標楷體" w:hAnsi="標楷體" w:hint="eastAsia"/>
          <w:sz w:val="28"/>
          <w:szCs w:val="28"/>
        </w:rPr>
        <w:t>履約保證機制，但仍有部份區域型建商或地主自建者規避規範，</w:t>
      </w:r>
      <w:r w:rsidR="00C16D74" w:rsidRPr="003861AC">
        <w:rPr>
          <w:rFonts w:ascii="標楷體" w:eastAsia="標楷體" w:hAnsi="標楷體" w:hint="eastAsia"/>
          <w:sz w:val="28"/>
          <w:szCs w:val="28"/>
        </w:rPr>
        <w:t>民眾在購</w:t>
      </w:r>
      <w:r w:rsidR="00BD0341">
        <w:rPr>
          <w:rFonts w:ascii="標楷體" w:eastAsia="標楷體" w:hAnsi="標楷體" w:hint="eastAsia"/>
          <w:sz w:val="28"/>
          <w:szCs w:val="28"/>
        </w:rPr>
        <w:t>買預售</w:t>
      </w:r>
      <w:r w:rsidR="00C16D74" w:rsidRPr="003861AC">
        <w:rPr>
          <w:rFonts w:ascii="標楷體" w:eastAsia="標楷體" w:hAnsi="標楷體" w:hint="eastAsia"/>
          <w:sz w:val="28"/>
          <w:szCs w:val="28"/>
        </w:rPr>
        <w:t>屋時</w:t>
      </w:r>
      <w:r w:rsidRPr="003861AC">
        <w:rPr>
          <w:rFonts w:ascii="標楷體" w:eastAsia="標楷體" w:hAnsi="標楷體" w:hint="eastAsia"/>
          <w:sz w:val="28"/>
          <w:szCs w:val="28"/>
        </w:rPr>
        <w:t>應</w:t>
      </w:r>
      <w:r w:rsidR="00C16D74" w:rsidRPr="003861AC">
        <w:rPr>
          <w:rFonts w:ascii="標楷體" w:eastAsia="標楷體" w:hAnsi="標楷體" w:hint="eastAsia"/>
          <w:sz w:val="28"/>
          <w:szCs w:val="28"/>
        </w:rPr>
        <w:t>要求建商提供相關證明文件</w:t>
      </w:r>
      <w:r w:rsidRPr="003861AC">
        <w:rPr>
          <w:rFonts w:ascii="標楷體" w:eastAsia="標楷體" w:hAnsi="標楷體" w:hint="eastAsia"/>
          <w:sz w:val="28"/>
          <w:szCs w:val="28"/>
        </w:rPr>
        <w:t>，如採價金信託或不動產開發信託方式辦理</w:t>
      </w:r>
      <w:r w:rsidR="003861AC" w:rsidRPr="003861AC">
        <w:rPr>
          <w:rFonts w:ascii="標楷體" w:eastAsia="標楷體" w:hAnsi="標楷體" w:hint="eastAsia"/>
          <w:sz w:val="28"/>
          <w:szCs w:val="28"/>
        </w:rPr>
        <w:t>者，應瞭解承作</w:t>
      </w:r>
      <w:r w:rsidR="00BD0341">
        <w:rPr>
          <w:rFonts w:ascii="標楷體" w:eastAsia="標楷體" w:hAnsi="標楷體" w:hint="eastAsia"/>
          <w:sz w:val="28"/>
          <w:szCs w:val="28"/>
        </w:rPr>
        <w:t>的受</w:t>
      </w:r>
      <w:r w:rsidR="003861AC" w:rsidRPr="003861AC">
        <w:rPr>
          <w:rFonts w:ascii="標楷體" w:eastAsia="標楷體" w:hAnsi="標楷體" w:hint="eastAsia"/>
          <w:sz w:val="28"/>
          <w:szCs w:val="28"/>
        </w:rPr>
        <w:t>託</w:t>
      </w:r>
      <w:r w:rsidR="00BD0341">
        <w:rPr>
          <w:rFonts w:ascii="標楷體" w:eastAsia="標楷體" w:hAnsi="標楷體" w:hint="eastAsia"/>
          <w:sz w:val="28"/>
          <w:szCs w:val="28"/>
        </w:rPr>
        <w:t>銀行</w:t>
      </w:r>
      <w:r w:rsidR="003861AC" w:rsidRPr="003861AC">
        <w:rPr>
          <w:rFonts w:ascii="標楷體" w:eastAsia="標楷體" w:hAnsi="標楷體" w:hint="eastAsia"/>
          <w:sz w:val="28"/>
          <w:szCs w:val="28"/>
        </w:rPr>
        <w:t>，</w:t>
      </w:r>
      <w:r w:rsidR="00BD0341">
        <w:rPr>
          <w:rFonts w:ascii="標楷體" w:eastAsia="標楷體" w:hAnsi="標楷體" w:hint="eastAsia"/>
          <w:sz w:val="28"/>
          <w:szCs w:val="28"/>
        </w:rPr>
        <w:t>每次繳款後務必至受託銀行的</w:t>
      </w:r>
      <w:r w:rsidR="003861AC" w:rsidRPr="003861AC">
        <w:rPr>
          <w:rFonts w:ascii="標楷體" w:eastAsia="標楷體" w:hAnsi="標楷體" w:hint="eastAsia"/>
          <w:sz w:val="28"/>
          <w:szCs w:val="28"/>
        </w:rPr>
        <w:t>信託專戶網頁</w:t>
      </w:r>
      <w:r w:rsidR="001F02AF">
        <w:rPr>
          <w:rFonts w:ascii="標楷體" w:eastAsia="標楷體" w:hAnsi="標楷體" w:hint="eastAsia"/>
          <w:sz w:val="28"/>
          <w:szCs w:val="28"/>
        </w:rPr>
        <w:t>，</w:t>
      </w:r>
      <w:r w:rsidR="003861AC" w:rsidRPr="003861AC">
        <w:rPr>
          <w:rFonts w:ascii="標楷體" w:eastAsia="標楷體" w:hAnsi="標楷體" w:hint="eastAsia"/>
          <w:sz w:val="28"/>
          <w:szCs w:val="28"/>
        </w:rPr>
        <w:t>查詢</w:t>
      </w:r>
      <w:r w:rsidR="00BD0341">
        <w:rPr>
          <w:rFonts w:ascii="標楷體" w:eastAsia="標楷體" w:hAnsi="標楷體" w:hint="eastAsia"/>
          <w:sz w:val="28"/>
          <w:szCs w:val="28"/>
        </w:rPr>
        <w:t>受託銀行是否有收到款項</w:t>
      </w:r>
      <w:r w:rsidR="003861AC" w:rsidRPr="003861AC">
        <w:rPr>
          <w:rFonts w:ascii="標楷體" w:eastAsia="標楷體" w:hAnsi="標楷體" w:hint="eastAsia"/>
          <w:sz w:val="28"/>
          <w:szCs w:val="28"/>
        </w:rPr>
        <w:t>，以隨時掌握交付信託之價金明細及相關資訊，維護自身的權益。</w:t>
      </w:r>
      <w:r w:rsidR="003861AC" w:rsidRPr="003861AC">
        <w:rPr>
          <w:rFonts w:ascii="標楷體" w:eastAsia="標楷體" w:hAnsi="標楷體"/>
          <w:sz w:val="28"/>
          <w:szCs w:val="28"/>
        </w:rPr>
        <w:t xml:space="preserve"> </w:t>
      </w:r>
    </w:p>
    <w:p w:rsidR="00C16D74" w:rsidRPr="00075A3C" w:rsidRDefault="00075A3C" w:rsidP="00075A3C">
      <w:pPr>
        <w:spacing w:beforeLines="50" w:before="180" w:line="480" w:lineRule="exact"/>
        <w:jc w:val="both"/>
        <w:rPr>
          <w:rFonts w:ascii="標楷體" w:eastAsia="標楷體" w:hAnsi="標楷體"/>
          <w:b/>
          <w:szCs w:val="24"/>
        </w:rPr>
      </w:pPr>
      <w:r w:rsidRPr="00075A3C">
        <w:rPr>
          <w:rFonts w:ascii="標楷體" w:eastAsia="標楷體" w:hAnsi="標楷體" w:hint="eastAsia"/>
          <w:b/>
          <w:szCs w:val="24"/>
        </w:rPr>
        <w:t>(表一) 履約保證</w:t>
      </w:r>
      <w:r>
        <w:rPr>
          <w:rFonts w:ascii="標楷體" w:eastAsia="標楷體" w:hAnsi="標楷體" w:hint="eastAsia"/>
          <w:b/>
          <w:szCs w:val="24"/>
        </w:rPr>
        <w:t>機制提供承購戶</w:t>
      </w:r>
      <w:r w:rsidRPr="00075A3C">
        <w:rPr>
          <w:rFonts w:ascii="標楷體" w:eastAsia="標楷體" w:hAnsi="標楷體" w:hint="eastAsia"/>
          <w:b/>
          <w:szCs w:val="24"/>
        </w:rPr>
        <w:t>之</w:t>
      </w:r>
      <w:r>
        <w:rPr>
          <w:rFonts w:ascii="標楷體" w:eastAsia="標楷體" w:hAnsi="標楷體" w:hint="eastAsia"/>
          <w:b/>
          <w:szCs w:val="24"/>
        </w:rPr>
        <w:t>保障</w:t>
      </w:r>
    </w:p>
    <w:tbl>
      <w:tblPr>
        <w:tblW w:w="8251" w:type="dxa"/>
        <w:tblInd w:w="108" w:type="dxa"/>
        <w:tblCellMar>
          <w:left w:w="0" w:type="dxa"/>
          <w:right w:w="0" w:type="dxa"/>
        </w:tblCellMar>
        <w:tblLook w:val="04A0" w:firstRow="1" w:lastRow="0" w:firstColumn="1" w:lastColumn="0" w:noHBand="0" w:noVBand="1"/>
      </w:tblPr>
      <w:tblGrid>
        <w:gridCol w:w="2155"/>
        <w:gridCol w:w="3090"/>
        <w:gridCol w:w="3006"/>
      </w:tblGrid>
      <w:tr w:rsidR="00075A3C" w:rsidRPr="00D24A97" w:rsidTr="005233A8">
        <w:trPr>
          <w:trHeight w:val="38"/>
        </w:trPr>
        <w:tc>
          <w:tcPr>
            <w:tcW w:w="2155" w:type="dxa"/>
            <w:tcBorders>
              <w:top w:val="single" w:sz="4" w:space="0" w:color="auto"/>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rsidR="00075A3C" w:rsidRPr="00075A3C" w:rsidRDefault="00075A3C" w:rsidP="00D4666B">
            <w:pPr>
              <w:widowControl/>
              <w:spacing w:line="400" w:lineRule="exact"/>
              <w:jc w:val="center"/>
              <w:rPr>
                <w:rFonts w:ascii="標楷體" w:eastAsia="標楷體" w:hAnsi="標楷體" w:cs="Arial"/>
                <w:kern w:val="0"/>
                <w:szCs w:val="24"/>
              </w:rPr>
            </w:pPr>
            <w:r w:rsidRPr="00075A3C">
              <w:rPr>
                <w:rFonts w:ascii="標楷體" w:eastAsia="標楷體" w:hAnsi="標楷體" w:cs="Arial" w:hint="eastAsia"/>
                <w:kern w:val="0"/>
                <w:szCs w:val="24"/>
              </w:rPr>
              <w:t>類型</w:t>
            </w:r>
          </w:p>
        </w:tc>
        <w:tc>
          <w:tcPr>
            <w:tcW w:w="309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tcPr>
          <w:p w:rsidR="00075A3C" w:rsidRPr="00075A3C" w:rsidRDefault="00075A3C" w:rsidP="00D4666B">
            <w:pPr>
              <w:widowControl/>
              <w:spacing w:line="400" w:lineRule="exact"/>
              <w:jc w:val="center"/>
              <w:rPr>
                <w:rFonts w:ascii="標楷體" w:eastAsia="標楷體" w:hAnsi="標楷體" w:cs="Arial"/>
                <w:kern w:val="0"/>
                <w:szCs w:val="24"/>
              </w:rPr>
            </w:pPr>
            <w:r>
              <w:rPr>
                <w:rFonts w:ascii="標楷體" w:eastAsia="標楷體" w:hAnsi="標楷體" w:cs="Arial" w:hint="eastAsia"/>
                <w:bCs/>
                <w:szCs w:val="24"/>
              </w:rPr>
              <w:t>返還自備款</w:t>
            </w:r>
          </w:p>
        </w:tc>
        <w:tc>
          <w:tcPr>
            <w:tcW w:w="3006" w:type="dxa"/>
            <w:tcBorders>
              <w:top w:val="single" w:sz="4" w:space="0" w:color="000000"/>
              <w:left w:val="single" w:sz="4" w:space="0" w:color="auto"/>
              <w:bottom w:val="single" w:sz="4" w:space="0" w:color="000000"/>
              <w:right w:val="single" w:sz="4" w:space="0" w:color="000000"/>
            </w:tcBorders>
            <w:shd w:val="clear" w:color="auto" w:fill="auto"/>
            <w:vAlign w:val="center"/>
          </w:tcPr>
          <w:p w:rsidR="00075A3C" w:rsidRPr="00075A3C" w:rsidRDefault="00075A3C" w:rsidP="00D4666B">
            <w:pPr>
              <w:widowControl/>
              <w:spacing w:line="400" w:lineRule="exact"/>
              <w:jc w:val="center"/>
              <w:rPr>
                <w:rFonts w:ascii="標楷體" w:eastAsia="標楷體" w:hAnsi="標楷體" w:cs="Arial"/>
                <w:kern w:val="0"/>
                <w:szCs w:val="24"/>
              </w:rPr>
            </w:pPr>
            <w:r>
              <w:rPr>
                <w:rFonts w:ascii="標楷體" w:eastAsia="標楷體" w:hAnsi="標楷體" w:cs="Arial" w:hint="eastAsia"/>
                <w:bCs/>
                <w:szCs w:val="24"/>
              </w:rPr>
              <w:t>完工保證</w:t>
            </w:r>
          </w:p>
        </w:tc>
      </w:tr>
      <w:tr w:rsidR="00A367F9" w:rsidRPr="00D24A97" w:rsidTr="005233A8">
        <w:trPr>
          <w:trHeight w:val="145"/>
        </w:trPr>
        <w:tc>
          <w:tcPr>
            <w:tcW w:w="2155"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0" w:type="dxa"/>
              <w:right w:w="108" w:type="dxa"/>
            </w:tcMar>
            <w:vAlign w:val="center"/>
          </w:tcPr>
          <w:p w:rsidR="00A367F9" w:rsidRPr="00075A3C" w:rsidRDefault="00A367F9" w:rsidP="00A367F9">
            <w:pPr>
              <w:widowControl/>
              <w:spacing w:line="400" w:lineRule="exact"/>
              <w:jc w:val="center"/>
              <w:rPr>
                <w:rFonts w:ascii="標楷體" w:eastAsia="標楷體" w:hAnsi="標楷體" w:cs="Arial"/>
                <w:kern w:val="0"/>
                <w:szCs w:val="24"/>
              </w:rPr>
            </w:pPr>
            <w:r w:rsidRPr="00075A3C">
              <w:rPr>
                <w:rFonts w:ascii="標楷體" w:eastAsia="標楷體" w:hAnsi="標楷體" w:cs="Arial" w:hint="eastAsia"/>
                <w:kern w:val="0"/>
                <w:szCs w:val="24"/>
              </w:rPr>
              <w:t>價金信託</w:t>
            </w:r>
          </w:p>
        </w:tc>
        <w:tc>
          <w:tcPr>
            <w:tcW w:w="3090" w:type="dxa"/>
            <w:tcBorders>
              <w:top w:val="single" w:sz="4" w:space="0" w:color="000000"/>
              <w:left w:val="single" w:sz="4" w:space="0" w:color="000000"/>
              <w:bottom w:val="single" w:sz="4" w:space="0" w:color="000000"/>
              <w:right w:val="single" w:sz="4" w:space="0" w:color="auto"/>
            </w:tcBorders>
            <w:shd w:val="clear" w:color="auto" w:fill="auto"/>
            <w:tcMar>
              <w:top w:w="15" w:type="dxa"/>
              <w:left w:w="108" w:type="dxa"/>
              <w:bottom w:w="0" w:type="dxa"/>
              <w:right w:w="108" w:type="dxa"/>
            </w:tcMar>
          </w:tcPr>
          <w:p w:rsidR="00A367F9" w:rsidRPr="00075A3C" w:rsidRDefault="00A367F9" w:rsidP="00A367F9">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返還剩餘款項</w:t>
            </w:r>
          </w:p>
        </w:tc>
        <w:tc>
          <w:tcPr>
            <w:tcW w:w="3006" w:type="dxa"/>
            <w:tcBorders>
              <w:top w:val="single" w:sz="4" w:space="0" w:color="000000"/>
              <w:left w:val="single" w:sz="4" w:space="0" w:color="auto"/>
              <w:bottom w:val="single" w:sz="4" w:space="0" w:color="000000"/>
              <w:right w:val="single" w:sz="4" w:space="0" w:color="000000"/>
            </w:tcBorders>
            <w:shd w:val="clear" w:color="auto" w:fill="auto"/>
          </w:tcPr>
          <w:p w:rsidR="00A367F9" w:rsidRPr="00075A3C" w:rsidRDefault="00A367F9" w:rsidP="009D0677">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無</w:t>
            </w:r>
          </w:p>
        </w:tc>
      </w:tr>
      <w:tr w:rsidR="00A367F9" w:rsidRPr="00D24A97" w:rsidTr="005233A8">
        <w:trPr>
          <w:trHeight w:val="145"/>
        </w:trPr>
        <w:tc>
          <w:tcPr>
            <w:tcW w:w="2155"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0" w:type="dxa"/>
              <w:right w:w="108" w:type="dxa"/>
            </w:tcMar>
            <w:vAlign w:val="center"/>
          </w:tcPr>
          <w:p w:rsidR="00A367F9" w:rsidRPr="00075A3C" w:rsidRDefault="00A367F9" w:rsidP="00A367F9">
            <w:pPr>
              <w:widowControl/>
              <w:spacing w:line="400" w:lineRule="exact"/>
              <w:jc w:val="center"/>
              <w:rPr>
                <w:rFonts w:ascii="標楷體" w:eastAsia="標楷體" w:hAnsi="標楷體" w:cs="Arial"/>
                <w:kern w:val="0"/>
                <w:szCs w:val="24"/>
              </w:rPr>
            </w:pPr>
            <w:r w:rsidRPr="00075A3C">
              <w:rPr>
                <w:rFonts w:ascii="標楷體" w:eastAsia="標楷體" w:hAnsi="標楷體" w:cs="Arial" w:hint="eastAsia"/>
                <w:kern w:val="0"/>
                <w:szCs w:val="24"/>
              </w:rPr>
              <w:t>不動產開發信託</w:t>
            </w:r>
          </w:p>
        </w:tc>
        <w:tc>
          <w:tcPr>
            <w:tcW w:w="3090" w:type="dxa"/>
            <w:tcBorders>
              <w:top w:val="single" w:sz="4" w:space="0" w:color="000000"/>
              <w:left w:val="single" w:sz="4" w:space="0" w:color="000000"/>
              <w:bottom w:val="single" w:sz="4" w:space="0" w:color="000000"/>
              <w:right w:val="single" w:sz="4" w:space="0" w:color="auto"/>
            </w:tcBorders>
            <w:shd w:val="clear" w:color="auto" w:fill="auto"/>
            <w:tcMar>
              <w:top w:w="15" w:type="dxa"/>
              <w:left w:w="108" w:type="dxa"/>
              <w:bottom w:w="0" w:type="dxa"/>
              <w:right w:w="108" w:type="dxa"/>
            </w:tcMar>
          </w:tcPr>
          <w:p w:rsidR="00A367F9" w:rsidRPr="00075A3C" w:rsidRDefault="00A367F9" w:rsidP="00A367F9">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返還剩餘款項</w:t>
            </w:r>
          </w:p>
        </w:tc>
        <w:tc>
          <w:tcPr>
            <w:tcW w:w="3006" w:type="dxa"/>
            <w:tcBorders>
              <w:top w:val="single" w:sz="4" w:space="0" w:color="000000"/>
              <w:left w:val="single" w:sz="4" w:space="0" w:color="auto"/>
              <w:bottom w:val="single" w:sz="4" w:space="0" w:color="000000"/>
              <w:right w:val="single" w:sz="4" w:space="0" w:color="000000"/>
            </w:tcBorders>
            <w:shd w:val="clear" w:color="auto" w:fill="auto"/>
          </w:tcPr>
          <w:p w:rsidR="00A367F9" w:rsidRPr="00075A3C" w:rsidRDefault="00595975" w:rsidP="00A367F9">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無，但可安排續建機制</w:t>
            </w:r>
          </w:p>
        </w:tc>
      </w:tr>
      <w:tr w:rsidR="00BD0341" w:rsidRPr="00D24A97" w:rsidTr="005233A8">
        <w:trPr>
          <w:trHeight w:val="145"/>
        </w:trPr>
        <w:tc>
          <w:tcPr>
            <w:tcW w:w="2155"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0" w:type="dxa"/>
              <w:right w:w="108" w:type="dxa"/>
            </w:tcMar>
            <w:vAlign w:val="center"/>
          </w:tcPr>
          <w:p w:rsidR="00BD0341" w:rsidRPr="00075A3C" w:rsidRDefault="00BD0341" w:rsidP="00BD0341">
            <w:pPr>
              <w:widowControl/>
              <w:spacing w:line="400" w:lineRule="exact"/>
              <w:jc w:val="center"/>
              <w:rPr>
                <w:rFonts w:ascii="標楷體" w:eastAsia="標楷體" w:hAnsi="標楷體" w:cs="Arial"/>
                <w:kern w:val="0"/>
                <w:szCs w:val="24"/>
              </w:rPr>
            </w:pPr>
            <w:r w:rsidRPr="00075A3C">
              <w:rPr>
                <w:rFonts w:ascii="標楷體" w:eastAsia="標楷體" w:hAnsi="標楷體" w:cs="Arial" w:hint="eastAsia"/>
                <w:kern w:val="0"/>
                <w:szCs w:val="24"/>
              </w:rPr>
              <w:t>價金返還</w:t>
            </w:r>
            <w:r>
              <w:rPr>
                <w:rFonts w:ascii="標楷體" w:eastAsia="標楷體" w:hAnsi="標楷體" w:cs="Arial" w:hint="eastAsia"/>
                <w:kern w:val="0"/>
                <w:szCs w:val="24"/>
              </w:rPr>
              <w:t>之保證</w:t>
            </w:r>
          </w:p>
        </w:tc>
        <w:tc>
          <w:tcPr>
            <w:tcW w:w="3090" w:type="dxa"/>
            <w:tcBorders>
              <w:top w:val="single" w:sz="4" w:space="0" w:color="000000"/>
              <w:left w:val="single" w:sz="4" w:space="0" w:color="000000"/>
              <w:bottom w:val="single" w:sz="4" w:space="0" w:color="000000"/>
              <w:right w:val="single" w:sz="4" w:space="0" w:color="auto"/>
            </w:tcBorders>
            <w:shd w:val="clear" w:color="auto" w:fill="auto"/>
            <w:tcMar>
              <w:top w:w="15" w:type="dxa"/>
              <w:left w:w="108" w:type="dxa"/>
              <w:bottom w:w="0" w:type="dxa"/>
              <w:right w:w="108" w:type="dxa"/>
            </w:tcMar>
          </w:tcPr>
          <w:p w:rsidR="00BD0341" w:rsidRPr="00075A3C" w:rsidRDefault="00BD0341" w:rsidP="00BD0341">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返還全部款項</w:t>
            </w:r>
          </w:p>
        </w:tc>
        <w:tc>
          <w:tcPr>
            <w:tcW w:w="3006" w:type="dxa"/>
            <w:tcBorders>
              <w:top w:val="single" w:sz="4" w:space="0" w:color="000000"/>
              <w:left w:val="single" w:sz="4" w:space="0" w:color="auto"/>
              <w:bottom w:val="single" w:sz="4" w:space="0" w:color="000000"/>
              <w:right w:val="single" w:sz="4" w:space="0" w:color="000000"/>
            </w:tcBorders>
            <w:shd w:val="clear" w:color="auto" w:fill="auto"/>
          </w:tcPr>
          <w:p w:rsidR="00BD0341" w:rsidRPr="00075A3C" w:rsidRDefault="00BD0341" w:rsidP="00BD0341">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無</w:t>
            </w:r>
          </w:p>
        </w:tc>
      </w:tr>
      <w:tr w:rsidR="00075A3C" w:rsidRPr="00D24A97" w:rsidTr="005233A8">
        <w:trPr>
          <w:trHeight w:val="3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tcPr>
          <w:p w:rsidR="00075A3C" w:rsidRPr="00075A3C" w:rsidRDefault="00075A3C" w:rsidP="00D4666B">
            <w:pPr>
              <w:widowControl/>
              <w:spacing w:line="400" w:lineRule="exact"/>
              <w:jc w:val="center"/>
              <w:rPr>
                <w:rFonts w:ascii="標楷體" w:eastAsia="標楷體" w:hAnsi="標楷體" w:cs="Arial"/>
                <w:kern w:val="0"/>
                <w:szCs w:val="24"/>
              </w:rPr>
            </w:pPr>
            <w:r w:rsidRPr="00075A3C">
              <w:rPr>
                <w:rFonts w:ascii="標楷體" w:eastAsia="標楷體" w:hAnsi="標楷體" w:cs="Arial" w:hint="eastAsia"/>
                <w:kern w:val="0"/>
                <w:szCs w:val="24"/>
              </w:rPr>
              <w:t>同業連帶擔保</w:t>
            </w:r>
          </w:p>
        </w:tc>
        <w:tc>
          <w:tcPr>
            <w:tcW w:w="3090" w:type="dxa"/>
            <w:tcBorders>
              <w:top w:val="single" w:sz="4" w:space="0" w:color="000000"/>
              <w:left w:val="single" w:sz="4" w:space="0" w:color="000000"/>
              <w:bottom w:val="single" w:sz="4" w:space="0" w:color="000000"/>
              <w:right w:val="single" w:sz="4" w:space="0" w:color="auto"/>
            </w:tcBorders>
            <w:shd w:val="clear" w:color="auto" w:fill="auto"/>
            <w:tcMar>
              <w:top w:w="15" w:type="dxa"/>
              <w:left w:w="108" w:type="dxa"/>
              <w:bottom w:w="0" w:type="dxa"/>
              <w:right w:w="108" w:type="dxa"/>
            </w:tcMar>
          </w:tcPr>
          <w:p w:rsidR="00075A3C" w:rsidRPr="00075A3C" w:rsidRDefault="00075A3C" w:rsidP="00075A3C">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無</w:t>
            </w:r>
          </w:p>
        </w:tc>
        <w:tc>
          <w:tcPr>
            <w:tcW w:w="3006" w:type="dxa"/>
            <w:tcBorders>
              <w:top w:val="single" w:sz="4" w:space="0" w:color="000000"/>
              <w:left w:val="single" w:sz="4" w:space="0" w:color="auto"/>
              <w:bottom w:val="single" w:sz="4" w:space="0" w:color="000000"/>
              <w:right w:val="single" w:sz="4" w:space="0" w:color="000000"/>
            </w:tcBorders>
            <w:shd w:val="clear" w:color="auto" w:fill="auto"/>
          </w:tcPr>
          <w:p w:rsidR="00075A3C" w:rsidRPr="00075A3C" w:rsidRDefault="00075A3C" w:rsidP="00075A3C">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有</w:t>
            </w:r>
          </w:p>
        </w:tc>
      </w:tr>
      <w:tr w:rsidR="00075A3C" w:rsidRPr="00D24A97" w:rsidTr="005233A8">
        <w:trPr>
          <w:trHeight w:val="3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tcPr>
          <w:p w:rsidR="00075A3C" w:rsidRPr="00201DF5" w:rsidRDefault="00075A3C" w:rsidP="00D4666B">
            <w:pPr>
              <w:widowControl/>
              <w:spacing w:line="400" w:lineRule="exact"/>
              <w:jc w:val="center"/>
              <w:rPr>
                <w:rFonts w:ascii="標楷體" w:eastAsia="標楷體" w:hAnsi="標楷體" w:cs="Arial"/>
                <w:kern w:val="0"/>
                <w:szCs w:val="24"/>
              </w:rPr>
            </w:pPr>
            <w:r w:rsidRPr="00075A3C">
              <w:rPr>
                <w:rFonts w:ascii="標楷體" w:eastAsia="標楷體" w:hAnsi="標楷體" w:cs="Arial" w:hint="eastAsia"/>
                <w:kern w:val="0"/>
                <w:szCs w:val="24"/>
              </w:rPr>
              <w:t>公會連帶保證</w:t>
            </w:r>
          </w:p>
        </w:tc>
        <w:tc>
          <w:tcPr>
            <w:tcW w:w="3090" w:type="dxa"/>
            <w:tcBorders>
              <w:top w:val="single" w:sz="4" w:space="0" w:color="000000"/>
              <w:left w:val="single" w:sz="4" w:space="0" w:color="000000"/>
              <w:bottom w:val="single" w:sz="4" w:space="0" w:color="000000"/>
              <w:right w:val="single" w:sz="4" w:space="0" w:color="auto"/>
            </w:tcBorders>
            <w:shd w:val="clear" w:color="auto" w:fill="auto"/>
            <w:tcMar>
              <w:top w:w="15" w:type="dxa"/>
              <w:left w:w="108" w:type="dxa"/>
              <w:bottom w:w="0" w:type="dxa"/>
              <w:right w:w="108" w:type="dxa"/>
            </w:tcMar>
          </w:tcPr>
          <w:p w:rsidR="00075A3C" w:rsidRPr="00201DF5" w:rsidRDefault="00075A3C" w:rsidP="00075A3C">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無</w:t>
            </w:r>
          </w:p>
        </w:tc>
        <w:tc>
          <w:tcPr>
            <w:tcW w:w="3006" w:type="dxa"/>
            <w:tcBorders>
              <w:top w:val="single" w:sz="4" w:space="0" w:color="000000"/>
              <w:left w:val="single" w:sz="4" w:space="0" w:color="auto"/>
              <w:bottom w:val="single" w:sz="4" w:space="0" w:color="000000"/>
              <w:right w:val="single" w:sz="4" w:space="0" w:color="000000"/>
            </w:tcBorders>
            <w:shd w:val="clear" w:color="auto" w:fill="auto"/>
          </w:tcPr>
          <w:p w:rsidR="00075A3C" w:rsidRPr="00201DF5" w:rsidRDefault="00075A3C" w:rsidP="00075A3C">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有</w:t>
            </w:r>
          </w:p>
        </w:tc>
      </w:tr>
    </w:tbl>
    <w:p w:rsidR="00A51A1F" w:rsidRDefault="00A51A1F" w:rsidP="003861AC">
      <w:pPr>
        <w:spacing w:line="480" w:lineRule="exact"/>
        <w:jc w:val="both"/>
        <w:rPr>
          <w:rFonts w:ascii="標楷體" w:eastAsia="標楷體" w:hAnsi="標楷體"/>
          <w:sz w:val="28"/>
          <w:szCs w:val="28"/>
        </w:rPr>
      </w:pPr>
    </w:p>
    <w:p w:rsidR="00A51A1F" w:rsidRDefault="00A51A1F">
      <w:pPr>
        <w:widowControl/>
        <w:rPr>
          <w:rFonts w:ascii="標楷體" w:eastAsia="標楷體" w:hAnsi="標楷體"/>
          <w:sz w:val="28"/>
          <w:szCs w:val="28"/>
        </w:rPr>
      </w:pPr>
      <w:r>
        <w:rPr>
          <w:rFonts w:ascii="標楷體" w:eastAsia="標楷體" w:hAnsi="標楷體"/>
          <w:sz w:val="28"/>
          <w:szCs w:val="28"/>
        </w:rPr>
        <w:br w:type="page"/>
      </w:r>
    </w:p>
    <w:p w:rsidR="00D071A8" w:rsidRPr="0094517E" w:rsidRDefault="00DC07BF" w:rsidP="0040310D">
      <w:pPr>
        <w:spacing w:afterLines="50" w:after="180" w:line="480" w:lineRule="exact"/>
        <w:jc w:val="center"/>
        <w:rPr>
          <w:rFonts w:ascii="標楷體" w:eastAsia="標楷體" w:hAnsi="標楷體"/>
          <w:b/>
          <w:sz w:val="30"/>
          <w:szCs w:val="30"/>
        </w:rPr>
      </w:pPr>
      <w:r w:rsidRPr="0094517E">
        <w:rPr>
          <w:rFonts w:ascii="標楷體" w:eastAsia="標楷體" w:hAnsi="標楷體" w:hint="eastAsia"/>
          <w:b/>
          <w:sz w:val="30"/>
          <w:szCs w:val="30"/>
        </w:rPr>
        <w:t>成屋交易買賣可利用信託機制，保障雙方交易安全</w:t>
      </w:r>
    </w:p>
    <w:p w:rsidR="00AB3B59" w:rsidRDefault="0094517E" w:rsidP="000B7EF1">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00D071A8" w:rsidRPr="003861AC">
        <w:rPr>
          <w:rFonts w:ascii="標楷體" w:eastAsia="標楷體" w:hAnsi="標楷體" w:hint="eastAsia"/>
          <w:sz w:val="28"/>
          <w:szCs w:val="28"/>
        </w:rPr>
        <w:t>房地產交易</w:t>
      </w:r>
      <w:r w:rsidR="00825D17">
        <w:rPr>
          <w:rFonts w:ascii="標楷體" w:eastAsia="標楷體" w:hAnsi="標楷體" w:hint="eastAsia"/>
          <w:sz w:val="28"/>
          <w:szCs w:val="28"/>
        </w:rPr>
        <w:t>由於買賣金額大且須有一定之過戶處理程序</w:t>
      </w:r>
      <w:r w:rsidR="00D071A8" w:rsidRPr="003861AC">
        <w:rPr>
          <w:rFonts w:ascii="標楷體" w:eastAsia="標楷體" w:hAnsi="標楷體" w:hint="eastAsia"/>
          <w:sz w:val="28"/>
          <w:szCs w:val="28"/>
        </w:rPr>
        <w:t>，</w:t>
      </w:r>
      <w:r w:rsidR="00825D17">
        <w:rPr>
          <w:rFonts w:ascii="標楷體" w:eastAsia="標楷體" w:hAnsi="標楷體" w:hint="eastAsia"/>
          <w:sz w:val="28"/>
          <w:szCs w:val="28"/>
        </w:rPr>
        <w:t>加上</w:t>
      </w:r>
      <w:r w:rsidR="00D071A8" w:rsidRPr="003861AC">
        <w:rPr>
          <w:rFonts w:ascii="標楷體" w:eastAsia="標楷體" w:hAnsi="標楷體" w:hint="eastAsia"/>
          <w:sz w:val="28"/>
          <w:szCs w:val="28"/>
        </w:rPr>
        <w:t>多數民眾買房時缺乏相關專業知識</w:t>
      </w:r>
      <w:r w:rsidR="00825D17">
        <w:rPr>
          <w:rFonts w:ascii="標楷體" w:eastAsia="標楷體" w:hAnsi="標楷體" w:hint="eastAsia"/>
          <w:sz w:val="28"/>
          <w:szCs w:val="28"/>
        </w:rPr>
        <w:t>，因此</w:t>
      </w:r>
      <w:r w:rsidR="00C17570">
        <w:rPr>
          <w:rFonts w:ascii="標楷體" w:eastAsia="標楷體" w:hAnsi="標楷體" w:hint="eastAsia"/>
          <w:sz w:val="28"/>
          <w:szCs w:val="28"/>
        </w:rPr>
        <w:t>產生不少</w:t>
      </w:r>
      <w:r w:rsidR="00825D17" w:rsidRPr="00825D17">
        <w:rPr>
          <w:rFonts w:ascii="標楷體" w:eastAsia="標楷體" w:hAnsi="標楷體" w:hint="eastAsia"/>
          <w:sz w:val="28"/>
          <w:szCs w:val="28"/>
        </w:rPr>
        <w:t>紛</w:t>
      </w:r>
      <w:r w:rsidR="00C17570">
        <w:rPr>
          <w:rFonts w:ascii="標楷體" w:eastAsia="標楷體" w:hAnsi="標楷體" w:hint="eastAsia"/>
          <w:sz w:val="28"/>
          <w:szCs w:val="28"/>
        </w:rPr>
        <w:t>爭</w:t>
      </w:r>
      <w:r w:rsidR="00825D17">
        <w:rPr>
          <w:rFonts w:ascii="標楷體" w:eastAsia="標楷體" w:hAnsi="標楷體" w:hint="eastAsia"/>
          <w:sz w:val="28"/>
          <w:szCs w:val="28"/>
        </w:rPr>
        <w:t>案件。目前</w:t>
      </w:r>
      <w:r w:rsidR="00154E9F">
        <w:rPr>
          <w:rFonts w:ascii="標楷體" w:eastAsia="標楷體" w:hAnsi="標楷體" w:hint="eastAsia"/>
          <w:sz w:val="28"/>
          <w:szCs w:val="28"/>
        </w:rPr>
        <w:t>除預售屋外，</w:t>
      </w:r>
      <w:r w:rsidR="00154E9F" w:rsidRPr="00154E9F">
        <w:rPr>
          <w:rFonts w:ascii="標楷體" w:eastAsia="標楷體" w:hAnsi="標楷體" w:hint="eastAsia"/>
          <w:sz w:val="28"/>
          <w:szCs w:val="28"/>
        </w:rPr>
        <w:t>成屋買賣雙方</w:t>
      </w:r>
      <w:r w:rsidR="00825D17">
        <w:rPr>
          <w:rFonts w:ascii="標楷體" w:eastAsia="標楷體" w:hAnsi="標楷體" w:hint="eastAsia"/>
          <w:sz w:val="28"/>
          <w:szCs w:val="28"/>
        </w:rPr>
        <w:t>自簽</w:t>
      </w:r>
      <w:r w:rsidR="00154E9F" w:rsidRPr="00154E9F">
        <w:rPr>
          <w:rFonts w:ascii="標楷體" w:eastAsia="標楷體" w:hAnsi="標楷體" w:hint="eastAsia"/>
          <w:sz w:val="28"/>
          <w:szCs w:val="28"/>
        </w:rPr>
        <w:t>訂契約至辦理所有權移轉，在房屋交易的過程，無論是買方或賣方都有困擾的地方：買方擔心付了款</w:t>
      </w:r>
      <w:r w:rsidR="00825D17">
        <w:rPr>
          <w:rFonts w:ascii="標楷體" w:eastAsia="標楷體" w:hAnsi="標楷體" w:hint="eastAsia"/>
          <w:sz w:val="28"/>
          <w:szCs w:val="28"/>
        </w:rPr>
        <w:t>項</w:t>
      </w:r>
      <w:r w:rsidR="00154E9F" w:rsidRPr="00154E9F">
        <w:rPr>
          <w:rFonts w:ascii="標楷體" w:eastAsia="標楷體" w:hAnsi="標楷體" w:hint="eastAsia"/>
          <w:sz w:val="28"/>
          <w:szCs w:val="28"/>
        </w:rPr>
        <w:t>，房子卻在交屋前出了問題；賣方則擔心過戶後，買方卻不付尾款。</w:t>
      </w:r>
    </w:p>
    <w:p w:rsidR="001E04A9" w:rsidRPr="001E04A9" w:rsidRDefault="00AB3B59" w:rsidP="000B7EF1">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00154E9F" w:rsidRPr="00154E9F">
        <w:rPr>
          <w:rFonts w:ascii="標楷體" w:eastAsia="標楷體" w:hAnsi="標楷體" w:hint="eastAsia"/>
          <w:sz w:val="28"/>
          <w:szCs w:val="28"/>
        </w:rPr>
        <w:t>為了能達到交易圓滿的目標，</w:t>
      </w:r>
      <w:r>
        <w:rPr>
          <w:rFonts w:ascii="標楷體" w:eastAsia="標楷體" w:hAnsi="標楷體" w:hint="eastAsia"/>
          <w:sz w:val="28"/>
          <w:szCs w:val="28"/>
        </w:rPr>
        <w:t>兼顧</w:t>
      </w:r>
      <w:r w:rsidR="00825D17">
        <w:rPr>
          <w:rFonts w:ascii="標楷體" w:eastAsia="標楷體" w:hAnsi="標楷體" w:hint="eastAsia"/>
          <w:sz w:val="28"/>
          <w:szCs w:val="28"/>
        </w:rPr>
        <w:t>買賣雙方</w:t>
      </w:r>
      <w:r w:rsidR="00154E9F" w:rsidRPr="00154E9F">
        <w:rPr>
          <w:rFonts w:ascii="標楷體" w:eastAsia="標楷體" w:hAnsi="標楷體" w:hint="eastAsia"/>
          <w:sz w:val="28"/>
          <w:szCs w:val="28"/>
        </w:rPr>
        <w:t>的交易安全，</w:t>
      </w:r>
      <w:r w:rsidR="00825D17">
        <w:rPr>
          <w:rFonts w:ascii="標楷體" w:eastAsia="標楷體" w:hAnsi="標楷體" w:hint="eastAsia"/>
          <w:sz w:val="28"/>
          <w:szCs w:val="28"/>
        </w:rPr>
        <w:t>有不少的</w:t>
      </w:r>
      <w:r w:rsidR="00154E9F" w:rsidRPr="00154E9F">
        <w:rPr>
          <w:rFonts w:ascii="標楷體" w:eastAsia="標楷體" w:hAnsi="標楷體" w:hint="eastAsia"/>
          <w:sz w:val="28"/>
          <w:szCs w:val="28"/>
        </w:rPr>
        <w:t>房</w:t>
      </w:r>
      <w:r w:rsidR="00825D17">
        <w:rPr>
          <w:rFonts w:ascii="標楷體" w:eastAsia="標楷體" w:hAnsi="標楷體" w:hint="eastAsia"/>
          <w:sz w:val="28"/>
          <w:szCs w:val="28"/>
        </w:rPr>
        <w:t>仲業者</w:t>
      </w:r>
      <w:r w:rsidR="00154E9F" w:rsidRPr="00154E9F">
        <w:rPr>
          <w:rFonts w:ascii="標楷體" w:eastAsia="標楷體" w:hAnsi="標楷體" w:hint="eastAsia"/>
          <w:sz w:val="28"/>
          <w:szCs w:val="28"/>
        </w:rPr>
        <w:t>推出了「價金履約保證」</w:t>
      </w:r>
      <w:r w:rsidR="00974E92">
        <w:rPr>
          <w:rFonts w:ascii="標楷體" w:eastAsia="標楷體" w:hAnsi="標楷體" w:hint="eastAsia"/>
          <w:sz w:val="28"/>
          <w:szCs w:val="28"/>
        </w:rPr>
        <w:t>，由第三人經手金錢與權狀，</w:t>
      </w:r>
      <w:r w:rsidR="009E43B4">
        <w:rPr>
          <w:rFonts w:ascii="標楷體" w:eastAsia="標楷體" w:hAnsi="標楷體" w:hint="eastAsia"/>
          <w:sz w:val="28"/>
          <w:szCs w:val="28"/>
        </w:rPr>
        <w:t>以</w:t>
      </w:r>
      <w:r w:rsidR="00974E92">
        <w:rPr>
          <w:rFonts w:ascii="標楷體" w:eastAsia="標楷體" w:hAnsi="標楷體" w:hint="eastAsia"/>
          <w:sz w:val="28"/>
          <w:szCs w:val="28"/>
        </w:rPr>
        <w:t>保障雙方</w:t>
      </w:r>
      <w:r w:rsidR="009E43B4">
        <w:rPr>
          <w:rFonts w:ascii="標楷體" w:eastAsia="標楷體" w:hAnsi="標楷體" w:hint="eastAsia"/>
          <w:sz w:val="28"/>
          <w:szCs w:val="28"/>
        </w:rPr>
        <w:t>的</w:t>
      </w:r>
      <w:r w:rsidR="00974E92">
        <w:rPr>
          <w:rFonts w:ascii="標楷體" w:eastAsia="標楷體" w:hAnsi="標楷體" w:hint="eastAsia"/>
          <w:sz w:val="28"/>
          <w:szCs w:val="28"/>
        </w:rPr>
        <w:t>權益</w:t>
      </w:r>
      <w:r w:rsidR="00154E9F" w:rsidRPr="00154E9F">
        <w:rPr>
          <w:rFonts w:ascii="標楷體" w:eastAsia="標楷體" w:hAnsi="標楷體" w:hint="eastAsia"/>
          <w:sz w:val="28"/>
          <w:szCs w:val="28"/>
        </w:rPr>
        <w:t>。</w:t>
      </w:r>
      <w:r>
        <w:rPr>
          <w:rFonts w:ascii="標楷體" w:eastAsia="標楷體" w:hAnsi="標楷體" w:hint="eastAsia"/>
          <w:sz w:val="28"/>
          <w:szCs w:val="28"/>
        </w:rPr>
        <w:t>一般實務作法是</w:t>
      </w:r>
      <w:r w:rsidR="00D33B18" w:rsidRPr="00D33B18">
        <w:rPr>
          <w:rFonts w:ascii="標楷體" w:eastAsia="標楷體" w:hAnsi="標楷體" w:hint="eastAsia"/>
          <w:sz w:val="28"/>
          <w:szCs w:val="28"/>
        </w:rPr>
        <w:t>，大部分的仲介公司提供的價金履約保證都是和建築經理公司合作辦理，</w:t>
      </w:r>
      <w:r w:rsidR="009E43B4">
        <w:rPr>
          <w:rFonts w:ascii="標楷體" w:eastAsia="標楷體" w:hAnsi="標楷體" w:hint="eastAsia"/>
          <w:sz w:val="28"/>
          <w:szCs w:val="28"/>
        </w:rPr>
        <w:t>買方支付之價金會匯入</w:t>
      </w:r>
      <w:r w:rsidRPr="00D33B18">
        <w:rPr>
          <w:rFonts w:ascii="標楷體" w:eastAsia="標楷體" w:hAnsi="標楷體" w:hint="eastAsia"/>
          <w:sz w:val="28"/>
          <w:szCs w:val="28"/>
        </w:rPr>
        <w:t>建築經理公司</w:t>
      </w:r>
      <w:r>
        <w:rPr>
          <w:rFonts w:ascii="標楷體" w:eastAsia="標楷體" w:hAnsi="標楷體" w:hint="eastAsia"/>
          <w:sz w:val="28"/>
          <w:szCs w:val="28"/>
        </w:rPr>
        <w:t>的</w:t>
      </w:r>
      <w:r w:rsidR="009E43B4">
        <w:rPr>
          <w:rFonts w:ascii="標楷體" w:eastAsia="標楷體" w:hAnsi="標楷體" w:hint="eastAsia"/>
          <w:sz w:val="28"/>
          <w:szCs w:val="28"/>
        </w:rPr>
        <w:t>履保專戶保管，等到房屋過戶買方取得</w:t>
      </w:r>
      <w:r w:rsidR="00623C21">
        <w:rPr>
          <w:rFonts w:ascii="標楷體" w:eastAsia="標楷體" w:hAnsi="標楷體" w:hint="eastAsia"/>
          <w:sz w:val="28"/>
          <w:szCs w:val="28"/>
        </w:rPr>
        <w:t>所有</w:t>
      </w:r>
      <w:r w:rsidR="009E43B4">
        <w:rPr>
          <w:rFonts w:ascii="標楷體" w:eastAsia="標楷體" w:hAnsi="標楷體" w:hint="eastAsia"/>
          <w:sz w:val="28"/>
          <w:szCs w:val="28"/>
        </w:rPr>
        <w:t>權後，</w:t>
      </w:r>
      <w:r w:rsidR="008A658A" w:rsidRPr="008A658A">
        <w:rPr>
          <w:rFonts w:ascii="標楷體" w:eastAsia="標楷體" w:hAnsi="標楷體" w:hint="eastAsia"/>
          <w:sz w:val="28"/>
          <w:szCs w:val="28"/>
        </w:rPr>
        <w:t>建築經理公司</w:t>
      </w:r>
      <w:r w:rsidR="009E43B4">
        <w:rPr>
          <w:rFonts w:ascii="標楷體" w:eastAsia="標楷體" w:hAnsi="標楷體" w:hint="eastAsia"/>
          <w:sz w:val="28"/>
          <w:szCs w:val="28"/>
        </w:rPr>
        <w:t>即會</w:t>
      </w:r>
      <w:r w:rsidR="00623C21">
        <w:rPr>
          <w:rFonts w:ascii="標楷體" w:eastAsia="標楷體" w:hAnsi="標楷體" w:hint="eastAsia"/>
          <w:sz w:val="28"/>
          <w:szCs w:val="28"/>
        </w:rPr>
        <w:t>將專戶內之款項</w:t>
      </w:r>
      <w:r w:rsidR="009E43B4">
        <w:rPr>
          <w:rFonts w:ascii="標楷體" w:eastAsia="標楷體" w:hAnsi="標楷體" w:hint="eastAsia"/>
          <w:sz w:val="28"/>
          <w:szCs w:val="28"/>
        </w:rPr>
        <w:t>撥</w:t>
      </w:r>
      <w:r w:rsidR="00623C21">
        <w:rPr>
          <w:rFonts w:ascii="標楷體" w:eastAsia="標楷體" w:hAnsi="標楷體" w:hint="eastAsia"/>
          <w:sz w:val="28"/>
          <w:szCs w:val="28"/>
        </w:rPr>
        <w:t>給</w:t>
      </w:r>
      <w:r w:rsidR="009E43B4">
        <w:rPr>
          <w:rFonts w:ascii="標楷體" w:eastAsia="標楷體" w:hAnsi="標楷體" w:hint="eastAsia"/>
          <w:sz w:val="28"/>
          <w:szCs w:val="28"/>
        </w:rPr>
        <w:t>賣方</w:t>
      </w:r>
      <w:r>
        <w:rPr>
          <w:rFonts w:ascii="標楷體" w:eastAsia="標楷體" w:hAnsi="標楷體" w:hint="eastAsia"/>
          <w:sz w:val="28"/>
          <w:szCs w:val="28"/>
        </w:rPr>
        <w:t>。</w:t>
      </w:r>
      <w:r w:rsidR="00581AF1">
        <w:rPr>
          <w:rFonts w:ascii="標楷體" w:eastAsia="標楷體" w:hAnsi="標楷體" w:hint="eastAsia"/>
          <w:sz w:val="28"/>
          <w:szCs w:val="28"/>
        </w:rPr>
        <w:t>履保專戶</w:t>
      </w:r>
      <w:r>
        <w:rPr>
          <w:rFonts w:ascii="標楷體" w:eastAsia="標楷體" w:hAnsi="標楷體" w:hint="eastAsia"/>
          <w:sz w:val="28"/>
          <w:szCs w:val="28"/>
        </w:rPr>
        <w:t>雖在銀行開戶，然</w:t>
      </w:r>
      <w:r w:rsidR="009822EC">
        <w:rPr>
          <w:rFonts w:ascii="標楷體" w:eastAsia="標楷體" w:hAnsi="標楷體" w:hint="eastAsia"/>
          <w:sz w:val="28"/>
          <w:szCs w:val="28"/>
        </w:rPr>
        <w:t>所有權是為</w:t>
      </w:r>
      <w:r w:rsidR="00D33B18" w:rsidRPr="00D33B18">
        <w:rPr>
          <w:rFonts w:ascii="標楷體" w:eastAsia="標楷體" w:hAnsi="標楷體" w:hint="eastAsia"/>
          <w:sz w:val="28"/>
          <w:szCs w:val="28"/>
        </w:rPr>
        <w:t>建築經理</w:t>
      </w:r>
      <w:r w:rsidR="009822EC">
        <w:rPr>
          <w:rFonts w:ascii="標楷體" w:eastAsia="標楷體" w:hAnsi="標楷體" w:hint="eastAsia"/>
          <w:sz w:val="28"/>
          <w:szCs w:val="28"/>
        </w:rPr>
        <w:t>公司所有</w:t>
      </w:r>
      <w:r>
        <w:rPr>
          <w:rFonts w:ascii="標楷體" w:eastAsia="標楷體" w:hAnsi="標楷體" w:hint="eastAsia"/>
          <w:sz w:val="28"/>
          <w:szCs w:val="28"/>
        </w:rPr>
        <w:t>，銀行係依</w:t>
      </w:r>
      <w:r w:rsidRPr="00AB3B59">
        <w:rPr>
          <w:rFonts w:ascii="標楷體" w:eastAsia="標楷體" w:hAnsi="標楷體" w:hint="eastAsia"/>
          <w:sz w:val="28"/>
          <w:szCs w:val="28"/>
        </w:rPr>
        <w:t>建築經理公司</w:t>
      </w:r>
      <w:r>
        <w:rPr>
          <w:rFonts w:ascii="標楷體" w:eastAsia="標楷體" w:hAnsi="標楷體" w:hint="eastAsia"/>
          <w:sz w:val="28"/>
          <w:szCs w:val="28"/>
        </w:rPr>
        <w:t>指示撥款</w:t>
      </w:r>
      <w:r w:rsidR="003D380C">
        <w:rPr>
          <w:rFonts w:ascii="標楷體" w:eastAsia="標楷體" w:hAnsi="標楷體" w:hint="eastAsia"/>
          <w:sz w:val="28"/>
          <w:szCs w:val="28"/>
        </w:rPr>
        <w:t>，如果</w:t>
      </w:r>
      <w:r w:rsidR="00D33B18" w:rsidRPr="00D33B18">
        <w:rPr>
          <w:rFonts w:ascii="標楷體" w:eastAsia="標楷體" w:hAnsi="標楷體" w:hint="eastAsia"/>
          <w:sz w:val="28"/>
          <w:szCs w:val="28"/>
        </w:rPr>
        <w:t>建築經理</w:t>
      </w:r>
      <w:r w:rsidR="003D380C">
        <w:rPr>
          <w:rFonts w:ascii="標楷體" w:eastAsia="標楷體" w:hAnsi="標楷體" w:hint="eastAsia"/>
          <w:sz w:val="28"/>
          <w:szCs w:val="28"/>
        </w:rPr>
        <w:t>公司有意挪用專戶內之款項</w:t>
      </w:r>
      <w:r>
        <w:rPr>
          <w:rFonts w:ascii="標楷體" w:eastAsia="標楷體" w:hAnsi="標楷體" w:hint="eastAsia"/>
          <w:sz w:val="28"/>
          <w:szCs w:val="28"/>
        </w:rPr>
        <w:t>，銀行無法査覺</w:t>
      </w:r>
      <w:r w:rsidR="003D380C">
        <w:rPr>
          <w:rFonts w:ascii="標楷體" w:eastAsia="標楷體" w:hAnsi="標楷體" w:hint="eastAsia"/>
          <w:sz w:val="28"/>
          <w:szCs w:val="28"/>
        </w:rPr>
        <w:t>；又</w:t>
      </w:r>
      <w:r w:rsidR="00D33B18" w:rsidRPr="00D33B18">
        <w:rPr>
          <w:rFonts w:ascii="標楷體" w:eastAsia="標楷體" w:hAnsi="標楷體" w:hint="eastAsia"/>
          <w:sz w:val="28"/>
          <w:szCs w:val="28"/>
        </w:rPr>
        <w:t>建築經理</w:t>
      </w:r>
      <w:r w:rsidR="003D380C">
        <w:rPr>
          <w:rFonts w:ascii="標楷體" w:eastAsia="標楷體" w:hAnsi="標楷體" w:hint="eastAsia"/>
          <w:sz w:val="28"/>
          <w:szCs w:val="28"/>
        </w:rPr>
        <w:t>公司如與他人發生債務糾紛，此時履保專戶即可能淪為被其債權人扣押求償之標的。</w:t>
      </w:r>
    </w:p>
    <w:p w:rsidR="001E04A9" w:rsidRDefault="003D380C" w:rsidP="000B7EF1">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3D380C">
        <w:rPr>
          <w:rFonts w:ascii="標楷體" w:eastAsia="標楷體" w:hAnsi="標楷體" w:hint="eastAsia"/>
          <w:sz w:val="28"/>
          <w:szCs w:val="28"/>
        </w:rPr>
        <w:t>信託公會呂蕙容秘書長表示，</w:t>
      </w:r>
      <w:r w:rsidR="008A658A">
        <w:rPr>
          <w:rFonts w:ascii="標楷體" w:eastAsia="標楷體" w:hAnsi="標楷體" w:hint="eastAsia"/>
          <w:sz w:val="28"/>
          <w:szCs w:val="28"/>
        </w:rPr>
        <w:t>因為銀行的規模</w:t>
      </w:r>
      <w:r w:rsidR="009D0677">
        <w:rPr>
          <w:rFonts w:ascii="標楷體" w:eastAsia="標楷體" w:hAnsi="標楷體" w:hint="eastAsia"/>
          <w:sz w:val="28"/>
          <w:szCs w:val="28"/>
        </w:rPr>
        <w:t>大且</w:t>
      </w:r>
      <w:r w:rsidR="008A658A">
        <w:rPr>
          <w:rFonts w:ascii="標楷體" w:eastAsia="標楷體" w:hAnsi="標楷體" w:hint="eastAsia"/>
          <w:sz w:val="28"/>
          <w:szCs w:val="28"/>
        </w:rPr>
        <w:t>受</w:t>
      </w:r>
      <w:r w:rsidR="009D0677">
        <w:rPr>
          <w:rFonts w:ascii="標楷體" w:eastAsia="標楷體" w:hAnsi="標楷體" w:hint="eastAsia"/>
          <w:sz w:val="28"/>
          <w:szCs w:val="28"/>
        </w:rPr>
        <w:t>到主管機關高度</w:t>
      </w:r>
      <w:r w:rsidR="008A658A">
        <w:rPr>
          <w:rFonts w:ascii="標楷體" w:eastAsia="標楷體" w:hAnsi="標楷體" w:hint="eastAsia"/>
          <w:sz w:val="28"/>
          <w:szCs w:val="28"/>
        </w:rPr>
        <w:t>監理</w:t>
      </w:r>
      <w:r w:rsidR="009D0677">
        <w:rPr>
          <w:rFonts w:ascii="標楷體" w:eastAsia="標楷體" w:hAnsi="標楷體" w:hint="eastAsia"/>
          <w:sz w:val="28"/>
          <w:szCs w:val="28"/>
        </w:rPr>
        <w:t>，有嚴格的內部控制及內部稽核要求，必須遵循信託法與信託業法</w:t>
      </w:r>
      <w:r w:rsidR="007A7F51">
        <w:rPr>
          <w:rFonts w:ascii="標楷體" w:eastAsia="標楷體" w:hAnsi="標楷體" w:hint="eastAsia"/>
          <w:sz w:val="28"/>
          <w:szCs w:val="28"/>
        </w:rPr>
        <w:t>的規定</w:t>
      </w:r>
      <w:r w:rsidR="008A658A">
        <w:rPr>
          <w:rFonts w:ascii="標楷體" w:eastAsia="標楷體" w:hAnsi="標楷體" w:hint="eastAsia"/>
          <w:sz w:val="28"/>
          <w:szCs w:val="28"/>
        </w:rPr>
        <w:t>，</w:t>
      </w:r>
      <w:r>
        <w:rPr>
          <w:rFonts w:ascii="標楷體" w:eastAsia="標楷體" w:hAnsi="標楷體" w:hint="eastAsia"/>
          <w:sz w:val="28"/>
          <w:szCs w:val="28"/>
        </w:rPr>
        <w:t>民眾可</w:t>
      </w:r>
      <w:r w:rsidR="008A658A">
        <w:rPr>
          <w:rFonts w:ascii="標楷體" w:eastAsia="標楷體" w:hAnsi="標楷體" w:hint="eastAsia"/>
          <w:sz w:val="28"/>
          <w:szCs w:val="28"/>
        </w:rPr>
        <w:t>選擇</w:t>
      </w:r>
      <w:r w:rsidR="007A7F51">
        <w:rPr>
          <w:rFonts w:ascii="標楷體" w:eastAsia="標楷體" w:hAnsi="標楷體" w:hint="eastAsia"/>
          <w:sz w:val="28"/>
          <w:szCs w:val="28"/>
        </w:rPr>
        <w:t>向</w:t>
      </w:r>
      <w:r w:rsidR="008A658A">
        <w:rPr>
          <w:rFonts w:ascii="標楷體" w:eastAsia="標楷體" w:hAnsi="標楷體" w:hint="eastAsia"/>
          <w:sz w:val="28"/>
          <w:szCs w:val="28"/>
        </w:rPr>
        <w:t>銀行</w:t>
      </w:r>
      <w:r w:rsidR="006A74B2">
        <w:rPr>
          <w:rFonts w:ascii="標楷體" w:eastAsia="標楷體" w:hAnsi="標楷體" w:hint="eastAsia"/>
          <w:sz w:val="28"/>
          <w:szCs w:val="28"/>
        </w:rPr>
        <w:t>辦理不動產安全交易信託，</w:t>
      </w:r>
      <w:r w:rsidR="006A74B2" w:rsidRPr="006A74B2">
        <w:rPr>
          <w:rFonts w:ascii="標楷體" w:eastAsia="標楷體" w:hAnsi="標楷體" w:hint="eastAsia"/>
          <w:sz w:val="28"/>
          <w:szCs w:val="28"/>
        </w:rPr>
        <w:t>以不動產買賣價金為信託財產，</w:t>
      </w:r>
      <w:r w:rsidR="006A74B2">
        <w:rPr>
          <w:rFonts w:ascii="標楷體" w:eastAsia="標楷體" w:hAnsi="標楷體" w:hint="eastAsia"/>
          <w:sz w:val="28"/>
          <w:szCs w:val="28"/>
        </w:rPr>
        <w:t>在</w:t>
      </w:r>
      <w:r w:rsidR="006A74B2" w:rsidRPr="006A74B2">
        <w:rPr>
          <w:rFonts w:ascii="標楷體" w:eastAsia="標楷體" w:hAnsi="標楷體" w:hint="eastAsia"/>
          <w:sz w:val="28"/>
          <w:szCs w:val="28"/>
        </w:rPr>
        <w:t>買賣雙方共同就不動產買賣契約履行</w:t>
      </w:r>
      <w:r w:rsidR="007A7F51">
        <w:rPr>
          <w:rFonts w:ascii="標楷體" w:eastAsia="標楷體" w:hAnsi="標楷體" w:hint="eastAsia"/>
          <w:sz w:val="28"/>
          <w:szCs w:val="28"/>
        </w:rPr>
        <w:t>義務</w:t>
      </w:r>
      <w:r w:rsidR="006A74B2" w:rsidRPr="006A74B2">
        <w:rPr>
          <w:rFonts w:ascii="標楷體" w:eastAsia="標楷體" w:hAnsi="標楷體" w:hint="eastAsia"/>
          <w:sz w:val="28"/>
          <w:szCs w:val="28"/>
        </w:rPr>
        <w:t>完成前，將買方所繳付之買賣價金委由受託</w:t>
      </w:r>
      <w:r w:rsidR="008A658A">
        <w:rPr>
          <w:rFonts w:ascii="標楷體" w:eastAsia="標楷體" w:hAnsi="標楷體" w:hint="eastAsia"/>
          <w:sz w:val="28"/>
          <w:szCs w:val="28"/>
        </w:rPr>
        <w:t>銀行</w:t>
      </w:r>
      <w:r w:rsidR="006A74B2" w:rsidRPr="006A74B2">
        <w:rPr>
          <w:rFonts w:ascii="標楷體" w:eastAsia="標楷體" w:hAnsi="標楷體" w:hint="eastAsia"/>
          <w:sz w:val="28"/>
          <w:szCs w:val="28"/>
        </w:rPr>
        <w:t>管理，以確保雙方交易</w:t>
      </w:r>
      <w:r w:rsidR="007A7F51">
        <w:rPr>
          <w:rFonts w:ascii="標楷體" w:eastAsia="標楷體" w:hAnsi="標楷體" w:hint="eastAsia"/>
          <w:sz w:val="28"/>
          <w:szCs w:val="28"/>
        </w:rPr>
        <w:t>的</w:t>
      </w:r>
      <w:r w:rsidR="006A74B2" w:rsidRPr="006A74B2">
        <w:rPr>
          <w:rFonts w:ascii="標楷體" w:eastAsia="標楷體" w:hAnsi="標楷體" w:hint="eastAsia"/>
          <w:sz w:val="28"/>
          <w:szCs w:val="28"/>
        </w:rPr>
        <w:t>安全。</w:t>
      </w:r>
      <w:r w:rsidR="007F7312">
        <w:rPr>
          <w:rFonts w:ascii="標楷體" w:eastAsia="標楷體" w:hAnsi="標楷體" w:hint="eastAsia"/>
          <w:sz w:val="28"/>
          <w:szCs w:val="28"/>
        </w:rPr>
        <w:t>透過信託機制</w:t>
      </w:r>
      <w:r w:rsidR="001529A5">
        <w:rPr>
          <w:rFonts w:ascii="標楷體" w:eastAsia="標楷體" w:hAnsi="標楷體" w:hint="eastAsia"/>
          <w:sz w:val="28"/>
          <w:szCs w:val="28"/>
        </w:rPr>
        <w:t>之管理，信託專戶不但有</w:t>
      </w:r>
      <w:r w:rsidR="007A7F51">
        <w:rPr>
          <w:rFonts w:ascii="標楷體" w:eastAsia="標楷體" w:hAnsi="標楷體" w:hint="eastAsia"/>
          <w:sz w:val="28"/>
          <w:szCs w:val="28"/>
        </w:rPr>
        <w:t>銀行</w:t>
      </w:r>
      <w:r w:rsidR="001529A5">
        <w:rPr>
          <w:rFonts w:ascii="標楷體" w:eastAsia="標楷體" w:hAnsi="標楷體" w:hint="eastAsia"/>
          <w:sz w:val="28"/>
          <w:szCs w:val="28"/>
        </w:rPr>
        <w:t>專人控管資金之撥付，該</w:t>
      </w:r>
      <w:r w:rsidR="008A658A">
        <w:rPr>
          <w:rFonts w:ascii="標楷體" w:eastAsia="標楷體" w:hAnsi="標楷體" w:hint="eastAsia"/>
          <w:sz w:val="28"/>
          <w:szCs w:val="28"/>
        </w:rPr>
        <w:t>信託款項</w:t>
      </w:r>
      <w:r w:rsidR="001529A5">
        <w:rPr>
          <w:rFonts w:ascii="標楷體" w:eastAsia="標楷體" w:hAnsi="標楷體" w:hint="eastAsia"/>
          <w:sz w:val="28"/>
          <w:szCs w:val="28"/>
        </w:rPr>
        <w:t>專戶更受到信託法之保障</w:t>
      </w:r>
      <w:r w:rsidR="0021166C">
        <w:rPr>
          <w:rFonts w:ascii="標楷體" w:eastAsia="標楷體" w:hAnsi="標楷體" w:hint="eastAsia"/>
          <w:sz w:val="28"/>
          <w:szCs w:val="28"/>
        </w:rPr>
        <w:t>，</w:t>
      </w:r>
      <w:r w:rsidR="007D1DDF">
        <w:rPr>
          <w:rFonts w:ascii="標楷體" w:eastAsia="標楷體" w:hAnsi="標楷體" w:hint="eastAsia"/>
          <w:sz w:val="28"/>
          <w:szCs w:val="28"/>
        </w:rPr>
        <w:t>使</w:t>
      </w:r>
      <w:r w:rsidR="0021166C">
        <w:rPr>
          <w:rFonts w:ascii="標楷體" w:eastAsia="標楷體" w:hAnsi="標楷體" w:hint="eastAsia"/>
          <w:sz w:val="28"/>
          <w:szCs w:val="28"/>
        </w:rPr>
        <w:t>民眾資金</w:t>
      </w:r>
      <w:r w:rsidR="007D1DDF">
        <w:rPr>
          <w:rFonts w:ascii="標楷體" w:eastAsia="標楷體" w:hAnsi="標楷體" w:hint="eastAsia"/>
          <w:sz w:val="28"/>
          <w:szCs w:val="28"/>
        </w:rPr>
        <w:t>的保護更為週全。</w:t>
      </w:r>
    </w:p>
    <w:p w:rsidR="005245CC" w:rsidRPr="00075A3C" w:rsidRDefault="005245CC" w:rsidP="004455CF">
      <w:pPr>
        <w:spacing w:line="480" w:lineRule="exact"/>
        <w:jc w:val="both"/>
        <w:rPr>
          <w:rFonts w:ascii="標楷體" w:eastAsia="標楷體" w:hAnsi="標楷體"/>
          <w:b/>
          <w:szCs w:val="24"/>
        </w:rPr>
      </w:pPr>
      <w:r w:rsidRPr="00075A3C">
        <w:rPr>
          <w:rFonts w:ascii="標楷體" w:eastAsia="標楷體" w:hAnsi="標楷體" w:hint="eastAsia"/>
          <w:b/>
          <w:szCs w:val="24"/>
        </w:rPr>
        <w:t xml:space="preserve">(表一) </w:t>
      </w:r>
      <w:r>
        <w:rPr>
          <w:rFonts w:ascii="標楷體" w:eastAsia="標楷體" w:hAnsi="標楷體" w:hint="eastAsia"/>
          <w:b/>
          <w:szCs w:val="24"/>
        </w:rPr>
        <w:t>不動產安全交易信託與價金</w:t>
      </w:r>
      <w:r w:rsidRPr="00075A3C">
        <w:rPr>
          <w:rFonts w:ascii="標楷體" w:eastAsia="標楷體" w:hAnsi="標楷體" w:hint="eastAsia"/>
          <w:b/>
          <w:szCs w:val="24"/>
        </w:rPr>
        <w:t>履約保證之</w:t>
      </w:r>
      <w:r>
        <w:rPr>
          <w:rFonts w:ascii="標楷體" w:eastAsia="標楷體" w:hAnsi="標楷體" w:hint="eastAsia"/>
          <w:b/>
          <w:szCs w:val="24"/>
        </w:rPr>
        <w:t>比較</w:t>
      </w:r>
    </w:p>
    <w:tbl>
      <w:tblPr>
        <w:tblW w:w="8251" w:type="dxa"/>
        <w:tblInd w:w="108" w:type="dxa"/>
        <w:tblCellMar>
          <w:left w:w="0" w:type="dxa"/>
          <w:right w:w="0" w:type="dxa"/>
        </w:tblCellMar>
        <w:tblLook w:val="04A0" w:firstRow="1" w:lastRow="0" w:firstColumn="1" w:lastColumn="0" w:noHBand="0" w:noVBand="1"/>
      </w:tblPr>
      <w:tblGrid>
        <w:gridCol w:w="2155"/>
        <w:gridCol w:w="3090"/>
        <w:gridCol w:w="3006"/>
      </w:tblGrid>
      <w:tr w:rsidR="005245CC" w:rsidRPr="00D24A97" w:rsidTr="00C328DE">
        <w:trPr>
          <w:trHeight w:val="38"/>
        </w:trPr>
        <w:tc>
          <w:tcPr>
            <w:tcW w:w="2155" w:type="dxa"/>
            <w:tcBorders>
              <w:top w:val="single" w:sz="4" w:space="0" w:color="auto"/>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rsidR="005245CC" w:rsidRPr="00075A3C" w:rsidRDefault="005245CC" w:rsidP="00C328DE">
            <w:pPr>
              <w:widowControl/>
              <w:spacing w:line="400" w:lineRule="exact"/>
              <w:jc w:val="center"/>
              <w:rPr>
                <w:rFonts w:ascii="標楷體" w:eastAsia="標楷體" w:hAnsi="標楷體" w:cs="Arial"/>
                <w:kern w:val="0"/>
                <w:szCs w:val="24"/>
              </w:rPr>
            </w:pPr>
            <w:r w:rsidRPr="00075A3C">
              <w:rPr>
                <w:rFonts w:ascii="標楷體" w:eastAsia="標楷體" w:hAnsi="標楷體" w:cs="Arial" w:hint="eastAsia"/>
                <w:kern w:val="0"/>
                <w:szCs w:val="24"/>
              </w:rPr>
              <w:t>類型</w:t>
            </w:r>
          </w:p>
        </w:tc>
        <w:tc>
          <w:tcPr>
            <w:tcW w:w="309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tcPr>
          <w:p w:rsidR="005245CC" w:rsidRPr="00075A3C" w:rsidRDefault="005245CC" w:rsidP="00C328DE">
            <w:pPr>
              <w:widowControl/>
              <w:spacing w:line="400" w:lineRule="exact"/>
              <w:jc w:val="center"/>
              <w:rPr>
                <w:rFonts w:ascii="標楷體" w:eastAsia="標楷體" w:hAnsi="標楷體" w:cs="Arial"/>
                <w:kern w:val="0"/>
                <w:szCs w:val="24"/>
              </w:rPr>
            </w:pPr>
            <w:r w:rsidRPr="005245CC">
              <w:rPr>
                <w:rFonts w:ascii="標楷體" w:eastAsia="標楷體" w:hAnsi="標楷體" w:cs="Arial" w:hint="eastAsia"/>
                <w:kern w:val="0"/>
                <w:szCs w:val="24"/>
              </w:rPr>
              <w:t>不動產安全交易信託</w:t>
            </w:r>
          </w:p>
        </w:tc>
        <w:tc>
          <w:tcPr>
            <w:tcW w:w="3006" w:type="dxa"/>
            <w:tcBorders>
              <w:top w:val="single" w:sz="4" w:space="0" w:color="000000"/>
              <w:left w:val="single" w:sz="4" w:space="0" w:color="auto"/>
              <w:bottom w:val="single" w:sz="4" w:space="0" w:color="000000"/>
              <w:right w:val="single" w:sz="4" w:space="0" w:color="000000"/>
            </w:tcBorders>
            <w:shd w:val="clear" w:color="auto" w:fill="auto"/>
            <w:vAlign w:val="center"/>
          </w:tcPr>
          <w:p w:rsidR="005245CC" w:rsidRPr="00075A3C" w:rsidRDefault="005245CC" w:rsidP="00C328DE">
            <w:pPr>
              <w:widowControl/>
              <w:spacing w:line="400" w:lineRule="exact"/>
              <w:jc w:val="center"/>
              <w:rPr>
                <w:rFonts w:ascii="標楷體" w:eastAsia="標楷體" w:hAnsi="標楷體" w:cs="Arial"/>
                <w:kern w:val="0"/>
                <w:szCs w:val="24"/>
              </w:rPr>
            </w:pPr>
            <w:r w:rsidRPr="005245CC">
              <w:rPr>
                <w:rFonts w:ascii="標楷體" w:eastAsia="標楷體" w:hAnsi="標楷體" w:cs="Arial" w:hint="eastAsia"/>
                <w:bCs/>
                <w:szCs w:val="24"/>
              </w:rPr>
              <w:t>價金履約保證</w:t>
            </w:r>
          </w:p>
        </w:tc>
      </w:tr>
      <w:tr w:rsidR="005245CC" w:rsidRPr="00D24A97" w:rsidTr="00C328DE">
        <w:trPr>
          <w:trHeight w:val="145"/>
        </w:trPr>
        <w:tc>
          <w:tcPr>
            <w:tcW w:w="2155"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0" w:type="dxa"/>
              <w:right w:w="108" w:type="dxa"/>
            </w:tcMar>
            <w:vAlign w:val="center"/>
          </w:tcPr>
          <w:p w:rsidR="005245CC" w:rsidRPr="00075A3C" w:rsidRDefault="005245CC" w:rsidP="00C328DE">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法律規範</w:t>
            </w:r>
          </w:p>
        </w:tc>
        <w:tc>
          <w:tcPr>
            <w:tcW w:w="3090" w:type="dxa"/>
            <w:tcBorders>
              <w:top w:val="single" w:sz="4" w:space="0" w:color="000000"/>
              <w:left w:val="single" w:sz="4" w:space="0" w:color="000000"/>
              <w:bottom w:val="single" w:sz="4" w:space="0" w:color="000000"/>
              <w:right w:val="single" w:sz="4" w:space="0" w:color="auto"/>
            </w:tcBorders>
            <w:shd w:val="clear" w:color="auto" w:fill="auto"/>
            <w:tcMar>
              <w:top w:w="15" w:type="dxa"/>
              <w:left w:w="108" w:type="dxa"/>
              <w:bottom w:w="0" w:type="dxa"/>
              <w:right w:w="108" w:type="dxa"/>
            </w:tcMar>
          </w:tcPr>
          <w:p w:rsidR="005245CC" w:rsidRPr="00075A3C" w:rsidRDefault="005245CC" w:rsidP="00C328DE">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信託法</w:t>
            </w:r>
            <w:r>
              <w:rPr>
                <w:rFonts w:ascii="新細明體" w:eastAsia="新細明體" w:hAnsi="新細明體" w:cs="Arial" w:hint="eastAsia"/>
                <w:kern w:val="0"/>
                <w:szCs w:val="24"/>
              </w:rPr>
              <w:t>、</w:t>
            </w:r>
            <w:r>
              <w:rPr>
                <w:rFonts w:ascii="標楷體" w:eastAsia="標楷體" w:hAnsi="標楷體" w:cs="Arial" w:hint="eastAsia"/>
                <w:kern w:val="0"/>
                <w:szCs w:val="24"/>
              </w:rPr>
              <w:t>信託業法</w:t>
            </w:r>
          </w:p>
        </w:tc>
        <w:tc>
          <w:tcPr>
            <w:tcW w:w="3006" w:type="dxa"/>
            <w:tcBorders>
              <w:top w:val="single" w:sz="4" w:space="0" w:color="000000"/>
              <w:left w:val="single" w:sz="4" w:space="0" w:color="auto"/>
              <w:bottom w:val="single" w:sz="4" w:space="0" w:color="000000"/>
              <w:right w:val="single" w:sz="4" w:space="0" w:color="000000"/>
            </w:tcBorders>
            <w:shd w:val="clear" w:color="auto" w:fill="auto"/>
          </w:tcPr>
          <w:p w:rsidR="005245CC" w:rsidRPr="00075A3C" w:rsidRDefault="005245CC" w:rsidP="00C328DE">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無</w:t>
            </w:r>
          </w:p>
        </w:tc>
      </w:tr>
      <w:tr w:rsidR="005245CC" w:rsidRPr="00D24A97" w:rsidTr="00C328DE">
        <w:trPr>
          <w:trHeight w:val="145"/>
        </w:trPr>
        <w:tc>
          <w:tcPr>
            <w:tcW w:w="2155"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0" w:type="dxa"/>
              <w:right w:w="108" w:type="dxa"/>
            </w:tcMar>
            <w:vAlign w:val="center"/>
          </w:tcPr>
          <w:p w:rsidR="005245CC" w:rsidRPr="00075A3C" w:rsidRDefault="005245CC" w:rsidP="005245CC">
            <w:pPr>
              <w:widowControl/>
              <w:spacing w:line="400" w:lineRule="exact"/>
              <w:jc w:val="center"/>
              <w:rPr>
                <w:rFonts w:ascii="標楷體" w:eastAsia="標楷體" w:hAnsi="標楷體" w:cs="Arial"/>
                <w:kern w:val="0"/>
                <w:szCs w:val="24"/>
              </w:rPr>
            </w:pPr>
            <w:r w:rsidRPr="00075A3C">
              <w:rPr>
                <w:rFonts w:ascii="標楷體" w:eastAsia="標楷體" w:hAnsi="標楷體" w:cs="Arial" w:hint="eastAsia"/>
                <w:kern w:val="0"/>
                <w:szCs w:val="24"/>
              </w:rPr>
              <w:t>價金</w:t>
            </w:r>
            <w:r>
              <w:rPr>
                <w:rFonts w:ascii="標楷體" w:eastAsia="標楷體" w:hAnsi="標楷體" w:cs="Arial" w:hint="eastAsia"/>
                <w:kern w:val="0"/>
                <w:szCs w:val="24"/>
              </w:rPr>
              <w:t>保管方式</w:t>
            </w:r>
          </w:p>
        </w:tc>
        <w:tc>
          <w:tcPr>
            <w:tcW w:w="3090" w:type="dxa"/>
            <w:tcBorders>
              <w:top w:val="single" w:sz="4" w:space="0" w:color="000000"/>
              <w:left w:val="single" w:sz="4" w:space="0" w:color="000000"/>
              <w:bottom w:val="single" w:sz="4" w:space="0" w:color="000000"/>
              <w:right w:val="single" w:sz="4" w:space="0" w:color="auto"/>
            </w:tcBorders>
            <w:shd w:val="clear" w:color="auto" w:fill="auto"/>
            <w:tcMar>
              <w:top w:w="15" w:type="dxa"/>
              <w:left w:w="108" w:type="dxa"/>
              <w:bottom w:w="0" w:type="dxa"/>
              <w:right w:w="108" w:type="dxa"/>
            </w:tcMar>
          </w:tcPr>
          <w:p w:rsidR="005245CC" w:rsidRPr="00075A3C" w:rsidRDefault="005245CC" w:rsidP="00C328DE">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信託專戶</w:t>
            </w:r>
          </w:p>
        </w:tc>
        <w:tc>
          <w:tcPr>
            <w:tcW w:w="3006" w:type="dxa"/>
            <w:tcBorders>
              <w:top w:val="single" w:sz="4" w:space="0" w:color="000000"/>
              <w:left w:val="single" w:sz="4" w:space="0" w:color="auto"/>
              <w:bottom w:val="single" w:sz="4" w:space="0" w:color="000000"/>
              <w:right w:val="single" w:sz="4" w:space="0" w:color="000000"/>
            </w:tcBorders>
            <w:shd w:val="clear" w:color="auto" w:fill="auto"/>
          </w:tcPr>
          <w:p w:rsidR="005245CC" w:rsidRPr="00075A3C" w:rsidRDefault="005245CC" w:rsidP="00C328DE">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履保專戶</w:t>
            </w:r>
          </w:p>
        </w:tc>
      </w:tr>
      <w:tr w:rsidR="005245CC" w:rsidRPr="00D24A97" w:rsidTr="00C328DE">
        <w:trPr>
          <w:trHeight w:val="145"/>
        </w:trPr>
        <w:tc>
          <w:tcPr>
            <w:tcW w:w="2155"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0" w:type="dxa"/>
              <w:right w:w="108" w:type="dxa"/>
            </w:tcMar>
            <w:vAlign w:val="center"/>
          </w:tcPr>
          <w:p w:rsidR="005245CC" w:rsidRPr="00075A3C" w:rsidRDefault="005245CC" w:rsidP="005245CC">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負責機構</w:t>
            </w:r>
          </w:p>
        </w:tc>
        <w:tc>
          <w:tcPr>
            <w:tcW w:w="3090" w:type="dxa"/>
            <w:tcBorders>
              <w:top w:val="single" w:sz="4" w:space="0" w:color="000000"/>
              <w:left w:val="single" w:sz="4" w:space="0" w:color="000000"/>
              <w:bottom w:val="single" w:sz="4" w:space="0" w:color="000000"/>
              <w:right w:val="single" w:sz="4" w:space="0" w:color="auto"/>
            </w:tcBorders>
            <w:shd w:val="clear" w:color="auto" w:fill="auto"/>
            <w:tcMar>
              <w:top w:w="15" w:type="dxa"/>
              <w:left w:w="108" w:type="dxa"/>
              <w:bottom w:w="0" w:type="dxa"/>
              <w:right w:w="108" w:type="dxa"/>
            </w:tcMar>
          </w:tcPr>
          <w:p w:rsidR="005245CC" w:rsidRDefault="008A658A" w:rsidP="00C328DE">
            <w:pPr>
              <w:widowControl/>
              <w:spacing w:line="400" w:lineRule="exact"/>
              <w:jc w:val="center"/>
              <w:rPr>
                <w:rFonts w:ascii="標楷體" w:eastAsia="標楷體" w:hAnsi="標楷體" w:cs="Arial"/>
                <w:kern w:val="0"/>
                <w:szCs w:val="24"/>
              </w:rPr>
            </w:pPr>
            <w:r w:rsidRPr="008A658A">
              <w:rPr>
                <w:rFonts w:ascii="標楷體" w:eastAsia="標楷體" w:hAnsi="標楷體" w:cs="Arial" w:hint="eastAsia"/>
                <w:kern w:val="0"/>
                <w:szCs w:val="24"/>
              </w:rPr>
              <w:t>受託銀行</w:t>
            </w:r>
          </w:p>
        </w:tc>
        <w:tc>
          <w:tcPr>
            <w:tcW w:w="3006" w:type="dxa"/>
            <w:tcBorders>
              <w:top w:val="single" w:sz="4" w:space="0" w:color="000000"/>
              <w:left w:val="single" w:sz="4" w:space="0" w:color="auto"/>
              <w:bottom w:val="single" w:sz="4" w:space="0" w:color="000000"/>
              <w:right w:val="single" w:sz="4" w:space="0" w:color="000000"/>
            </w:tcBorders>
            <w:shd w:val="clear" w:color="auto" w:fill="auto"/>
          </w:tcPr>
          <w:p w:rsidR="005245CC" w:rsidRDefault="008A658A" w:rsidP="00C328DE">
            <w:pPr>
              <w:widowControl/>
              <w:spacing w:line="400" w:lineRule="exact"/>
              <w:jc w:val="center"/>
              <w:rPr>
                <w:rFonts w:ascii="標楷體" w:eastAsia="標楷體" w:hAnsi="標楷體" w:cs="Arial"/>
                <w:kern w:val="0"/>
                <w:szCs w:val="24"/>
              </w:rPr>
            </w:pPr>
            <w:r w:rsidRPr="008A658A">
              <w:rPr>
                <w:rFonts w:ascii="標楷體" w:eastAsia="標楷體" w:hAnsi="標楷體" w:cs="Arial" w:hint="eastAsia"/>
                <w:kern w:val="0"/>
                <w:szCs w:val="24"/>
              </w:rPr>
              <w:t>建築經理</w:t>
            </w:r>
            <w:r w:rsidR="005245CC">
              <w:rPr>
                <w:rFonts w:ascii="標楷體" w:eastAsia="標楷體" w:hAnsi="標楷體" w:cs="Arial" w:hint="eastAsia"/>
                <w:kern w:val="0"/>
                <w:szCs w:val="24"/>
              </w:rPr>
              <w:t>公司</w:t>
            </w:r>
          </w:p>
        </w:tc>
      </w:tr>
      <w:tr w:rsidR="005245CC" w:rsidRPr="00D24A97" w:rsidTr="00C328DE">
        <w:trPr>
          <w:trHeight w:val="145"/>
        </w:trPr>
        <w:tc>
          <w:tcPr>
            <w:tcW w:w="2155"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0" w:type="dxa"/>
              <w:right w:w="108" w:type="dxa"/>
            </w:tcMar>
            <w:vAlign w:val="center"/>
          </w:tcPr>
          <w:p w:rsidR="005245CC" w:rsidRDefault="005245CC" w:rsidP="005245CC">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帳戶查封風險</w:t>
            </w:r>
          </w:p>
        </w:tc>
        <w:tc>
          <w:tcPr>
            <w:tcW w:w="3090" w:type="dxa"/>
            <w:tcBorders>
              <w:top w:val="single" w:sz="4" w:space="0" w:color="000000"/>
              <w:left w:val="single" w:sz="4" w:space="0" w:color="000000"/>
              <w:bottom w:val="single" w:sz="4" w:space="0" w:color="000000"/>
              <w:right w:val="single" w:sz="4" w:space="0" w:color="auto"/>
            </w:tcBorders>
            <w:shd w:val="clear" w:color="auto" w:fill="auto"/>
            <w:tcMar>
              <w:top w:w="15" w:type="dxa"/>
              <w:left w:w="108" w:type="dxa"/>
              <w:bottom w:w="0" w:type="dxa"/>
              <w:right w:w="108" w:type="dxa"/>
            </w:tcMar>
          </w:tcPr>
          <w:p w:rsidR="005245CC" w:rsidRDefault="004455CF" w:rsidP="00C328DE">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低</w:t>
            </w:r>
          </w:p>
        </w:tc>
        <w:tc>
          <w:tcPr>
            <w:tcW w:w="3006" w:type="dxa"/>
            <w:tcBorders>
              <w:top w:val="single" w:sz="4" w:space="0" w:color="000000"/>
              <w:left w:val="single" w:sz="4" w:space="0" w:color="auto"/>
              <w:bottom w:val="single" w:sz="4" w:space="0" w:color="000000"/>
              <w:right w:val="single" w:sz="4" w:space="0" w:color="000000"/>
            </w:tcBorders>
            <w:shd w:val="clear" w:color="auto" w:fill="auto"/>
          </w:tcPr>
          <w:p w:rsidR="005245CC" w:rsidRDefault="004455CF" w:rsidP="00C328DE">
            <w:pPr>
              <w:widowControl/>
              <w:spacing w:line="400" w:lineRule="exact"/>
              <w:jc w:val="center"/>
              <w:rPr>
                <w:rFonts w:ascii="標楷體" w:eastAsia="標楷體" w:hAnsi="標楷體" w:cs="Arial"/>
                <w:kern w:val="0"/>
                <w:szCs w:val="24"/>
              </w:rPr>
            </w:pPr>
            <w:r>
              <w:rPr>
                <w:rFonts w:ascii="標楷體" w:eastAsia="標楷體" w:hAnsi="標楷體" w:cs="Arial" w:hint="eastAsia"/>
                <w:kern w:val="0"/>
                <w:szCs w:val="24"/>
              </w:rPr>
              <w:t>高</w:t>
            </w:r>
          </w:p>
        </w:tc>
      </w:tr>
    </w:tbl>
    <w:p w:rsidR="005245CC" w:rsidRPr="005245CC" w:rsidRDefault="005245CC" w:rsidP="000B7EF1">
      <w:pPr>
        <w:spacing w:line="480" w:lineRule="exact"/>
        <w:jc w:val="both"/>
        <w:rPr>
          <w:rFonts w:ascii="標楷體" w:eastAsia="標楷體" w:hAnsi="標楷體"/>
          <w:sz w:val="28"/>
          <w:szCs w:val="28"/>
        </w:rPr>
      </w:pPr>
      <w:bookmarkStart w:id="0" w:name="_GoBack"/>
      <w:bookmarkEnd w:id="0"/>
    </w:p>
    <w:sectPr w:rsidR="005245CC" w:rsidRPr="005245CC" w:rsidSect="000B7EF1">
      <w:pgSz w:w="11906" w:h="16838"/>
      <w:pgMar w:top="1440" w:right="1800" w:bottom="1135"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A18" w:rsidRDefault="00654A18" w:rsidP="00620AD1">
      <w:r>
        <w:separator/>
      </w:r>
    </w:p>
  </w:endnote>
  <w:endnote w:type="continuationSeparator" w:id="0">
    <w:p w:rsidR="00654A18" w:rsidRDefault="00654A18" w:rsidP="0062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A18" w:rsidRDefault="00654A18" w:rsidP="00620AD1">
      <w:r>
        <w:separator/>
      </w:r>
    </w:p>
  </w:footnote>
  <w:footnote w:type="continuationSeparator" w:id="0">
    <w:p w:rsidR="00654A18" w:rsidRDefault="00654A18" w:rsidP="00620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74"/>
    <w:rsid w:val="00054155"/>
    <w:rsid w:val="00075A3C"/>
    <w:rsid w:val="000B7EF1"/>
    <w:rsid w:val="000F4329"/>
    <w:rsid w:val="00136FFC"/>
    <w:rsid w:val="001529A5"/>
    <w:rsid w:val="00154E9F"/>
    <w:rsid w:val="00181028"/>
    <w:rsid w:val="001E04A9"/>
    <w:rsid w:val="001F02AF"/>
    <w:rsid w:val="0021166C"/>
    <w:rsid w:val="00222E6F"/>
    <w:rsid w:val="0022553A"/>
    <w:rsid w:val="002262B7"/>
    <w:rsid w:val="00230699"/>
    <w:rsid w:val="00252396"/>
    <w:rsid w:val="002D3BEB"/>
    <w:rsid w:val="00324AA5"/>
    <w:rsid w:val="003861AC"/>
    <w:rsid w:val="003D380C"/>
    <w:rsid w:val="003E2A9C"/>
    <w:rsid w:val="0040310D"/>
    <w:rsid w:val="004377DD"/>
    <w:rsid w:val="004455CF"/>
    <w:rsid w:val="004C37D8"/>
    <w:rsid w:val="005233A8"/>
    <w:rsid w:val="005245CC"/>
    <w:rsid w:val="00581AF1"/>
    <w:rsid w:val="0059533A"/>
    <w:rsid w:val="00595975"/>
    <w:rsid w:val="006162B1"/>
    <w:rsid w:val="00620AD1"/>
    <w:rsid w:val="00623C21"/>
    <w:rsid w:val="00654A18"/>
    <w:rsid w:val="0066656B"/>
    <w:rsid w:val="006A74B2"/>
    <w:rsid w:val="006D72A8"/>
    <w:rsid w:val="00703622"/>
    <w:rsid w:val="00706BB4"/>
    <w:rsid w:val="00752F16"/>
    <w:rsid w:val="00777ACC"/>
    <w:rsid w:val="007A7F51"/>
    <w:rsid w:val="007D1DDF"/>
    <w:rsid w:val="007D6F4D"/>
    <w:rsid w:val="007F7312"/>
    <w:rsid w:val="00825D17"/>
    <w:rsid w:val="00871DD5"/>
    <w:rsid w:val="008852F9"/>
    <w:rsid w:val="008A658A"/>
    <w:rsid w:val="0094517E"/>
    <w:rsid w:val="00974E92"/>
    <w:rsid w:val="009822EC"/>
    <w:rsid w:val="009D0677"/>
    <w:rsid w:val="009E43B4"/>
    <w:rsid w:val="00A367F9"/>
    <w:rsid w:val="00A51A1F"/>
    <w:rsid w:val="00A80690"/>
    <w:rsid w:val="00AB3B59"/>
    <w:rsid w:val="00AD497B"/>
    <w:rsid w:val="00B10E75"/>
    <w:rsid w:val="00B22E42"/>
    <w:rsid w:val="00B377E3"/>
    <w:rsid w:val="00B96C1C"/>
    <w:rsid w:val="00BC60F9"/>
    <w:rsid w:val="00BD0341"/>
    <w:rsid w:val="00BD3243"/>
    <w:rsid w:val="00BF7406"/>
    <w:rsid w:val="00C16D74"/>
    <w:rsid w:val="00C17570"/>
    <w:rsid w:val="00C715BC"/>
    <w:rsid w:val="00CB38C5"/>
    <w:rsid w:val="00D071A8"/>
    <w:rsid w:val="00D27C36"/>
    <w:rsid w:val="00D33B18"/>
    <w:rsid w:val="00D76039"/>
    <w:rsid w:val="00D82445"/>
    <w:rsid w:val="00DC07BF"/>
    <w:rsid w:val="00E54752"/>
    <w:rsid w:val="00E6475A"/>
    <w:rsid w:val="00E725F6"/>
    <w:rsid w:val="00ED3F14"/>
    <w:rsid w:val="00F06F1A"/>
    <w:rsid w:val="00F13C3D"/>
    <w:rsid w:val="00F303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98751F1-1332-4B42-ABBB-E695BD02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AD1"/>
    <w:pPr>
      <w:tabs>
        <w:tab w:val="center" w:pos="4153"/>
        <w:tab w:val="right" w:pos="8306"/>
      </w:tabs>
      <w:snapToGrid w:val="0"/>
    </w:pPr>
    <w:rPr>
      <w:sz w:val="20"/>
      <w:szCs w:val="20"/>
    </w:rPr>
  </w:style>
  <w:style w:type="character" w:customStyle="1" w:styleId="a4">
    <w:name w:val="頁首 字元"/>
    <w:basedOn w:val="a0"/>
    <w:link w:val="a3"/>
    <w:uiPriority w:val="99"/>
    <w:rsid w:val="00620AD1"/>
    <w:rPr>
      <w:sz w:val="20"/>
      <w:szCs w:val="20"/>
    </w:rPr>
  </w:style>
  <w:style w:type="paragraph" w:styleId="a5">
    <w:name w:val="footer"/>
    <w:basedOn w:val="a"/>
    <w:link w:val="a6"/>
    <w:uiPriority w:val="99"/>
    <w:unhideWhenUsed/>
    <w:rsid w:val="00620AD1"/>
    <w:pPr>
      <w:tabs>
        <w:tab w:val="center" w:pos="4153"/>
        <w:tab w:val="right" w:pos="8306"/>
      </w:tabs>
      <w:snapToGrid w:val="0"/>
    </w:pPr>
    <w:rPr>
      <w:sz w:val="20"/>
      <w:szCs w:val="20"/>
    </w:rPr>
  </w:style>
  <w:style w:type="character" w:customStyle="1" w:styleId="a6">
    <w:name w:val="頁尾 字元"/>
    <w:basedOn w:val="a0"/>
    <w:link w:val="a5"/>
    <w:uiPriority w:val="99"/>
    <w:rsid w:val="00620AD1"/>
    <w:rPr>
      <w:sz w:val="20"/>
      <w:szCs w:val="20"/>
    </w:rPr>
  </w:style>
  <w:style w:type="paragraph" w:styleId="a7">
    <w:name w:val="Salutation"/>
    <w:basedOn w:val="a"/>
    <w:next w:val="a"/>
    <w:link w:val="a8"/>
    <w:uiPriority w:val="99"/>
    <w:unhideWhenUsed/>
    <w:rsid w:val="00BC60F9"/>
    <w:rPr>
      <w:rFonts w:ascii="標楷體" w:eastAsia="標楷體" w:hAnsi="標楷體"/>
      <w:sz w:val="28"/>
      <w:szCs w:val="28"/>
    </w:rPr>
  </w:style>
  <w:style w:type="character" w:customStyle="1" w:styleId="a8">
    <w:name w:val="問候 字元"/>
    <w:basedOn w:val="a0"/>
    <w:link w:val="a7"/>
    <w:uiPriority w:val="99"/>
    <w:rsid w:val="00BC60F9"/>
    <w:rPr>
      <w:rFonts w:ascii="標楷體" w:eastAsia="標楷體" w:hAnsi="標楷體"/>
      <w:sz w:val="28"/>
      <w:szCs w:val="28"/>
    </w:rPr>
  </w:style>
  <w:style w:type="paragraph" w:styleId="a9">
    <w:name w:val="Closing"/>
    <w:basedOn w:val="a"/>
    <w:link w:val="aa"/>
    <w:uiPriority w:val="99"/>
    <w:unhideWhenUsed/>
    <w:rsid w:val="00BC60F9"/>
    <w:pPr>
      <w:ind w:leftChars="1800" w:left="100"/>
    </w:pPr>
    <w:rPr>
      <w:rFonts w:ascii="標楷體" w:eastAsia="標楷體" w:hAnsi="標楷體"/>
      <w:sz w:val="28"/>
      <w:szCs w:val="28"/>
    </w:rPr>
  </w:style>
  <w:style w:type="character" w:customStyle="1" w:styleId="aa">
    <w:name w:val="結語 字元"/>
    <w:basedOn w:val="a0"/>
    <w:link w:val="a9"/>
    <w:uiPriority w:val="99"/>
    <w:rsid w:val="00BC60F9"/>
    <w:rPr>
      <w:rFonts w:ascii="標楷體" w:eastAsia="標楷體" w:hAnsi="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c:creator>
  <cp:keywords/>
  <dc:description/>
  <cp:lastModifiedBy>milly</cp:lastModifiedBy>
  <cp:revision>5</cp:revision>
  <cp:lastPrinted>2018-05-24T03:33:00Z</cp:lastPrinted>
  <dcterms:created xsi:type="dcterms:W3CDTF">2019-02-18T05:53:00Z</dcterms:created>
  <dcterms:modified xsi:type="dcterms:W3CDTF">2019-02-18T06:23:00Z</dcterms:modified>
</cp:coreProperties>
</file>